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48"/>
          <w:szCs w:val="48"/>
          <w:color w:val="FFFFFF"/>
        </w:rPr>
        <w:t>Annual Report</w:t>
      </w:r>
    </w:p>
    <w:p>
      <w:pPr>
        <w:sectPr>
          <w:pgSz w:w="11880" w:h="15480" w:orient="portrait"/>
          <w:cols w:equalWidth="0" w:num="1">
            <w:col w:w="9660"/>
          </w:cols>
          <w:pgMar w:left="780" w:top="1440" w:right="1440" w:bottom="1440" w:gutter="0" w:footer="0" w:header="0"/>
        </w:sectPr>
      </w:pPr>
    </w:p>
    <w:bookmarkStart w:id="1" w:name="page2"/>
    <w:bookmarkEnd w:id="1"/>
    <w:p>
      <w:pPr>
        <w:ind w:left="8040"/>
        <w:spacing w:after="0"/>
        <w:rPr>
          <w:sz w:val="20"/>
          <w:szCs w:val="20"/>
          <w:color w:val="auto"/>
        </w:rPr>
      </w:pPr>
      <w:r>
        <w:rPr>
          <w:rFonts w:ascii="Arial" w:cs="Arial" w:eastAsia="Arial" w:hAnsi="Arial"/>
          <w:sz w:val="20"/>
          <w:szCs w:val="20"/>
          <w:color w:val="211E1F"/>
        </w:rPr>
        <w:drawing>
          <wp:anchor simplePos="0" relativeHeight="251657728" behindDoc="1" locked="0" layoutInCell="0" allowOverlap="1">
            <wp:simplePos x="0" y="0"/>
            <wp:positionH relativeFrom="page">
              <wp:posOffset>0</wp:posOffset>
            </wp:positionH>
            <wp:positionV relativeFrom="page">
              <wp:posOffset>0</wp:posOffset>
            </wp:positionV>
            <wp:extent cx="7543800" cy="6537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6537325"/>
                    </a:xfrm>
                    <a:prstGeom prst="rect">
                      <a:avLst/>
                    </a:prstGeom>
                    <a:noFill/>
                  </pic:spPr>
                </pic:pic>
              </a:graphicData>
            </a:graphic>
          </wp:anchor>
        </w:drawing>
        <w:t>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80"/>
        <w:spacing w:after="0"/>
        <w:tabs>
          <w:tab w:leader="none" w:pos="5000" w:val="left"/>
          <w:tab w:leader="none" w:pos="5560" w:val="left"/>
          <w:tab w:leader="none" w:pos="6320" w:val="left"/>
          <w:tab w:leader="none" w:pos="6880" w:val="left"/>
          <w:tab w:leader="none" w:pos="7500" w:val="left"/>
        </w:tabs>
        <w:rPr>
          <w:sz w:val="20"/>
          <w:szCs w:val="20"/>
          <w:color w:val="auto"/>
        </w:rPr>
      </w:pPr>
      <w:r>
        <w:rPr>
          <w:rFonts w:ascii="Arial" w:cs="Arial" w:eastAsia="Arial" w:hAnsi="Arial"/>
          <w:sz w:val="30"/>
          <w:szCs w:val="30"/>
          <w:color w:val="00306C"/>
        </w:rPr>
        <w:t>D</w:t>
      </w:r>
      <w:r>
        <w:rPr>
          <w:rFonts w:ascii="Arial" w:cs="Arial" w:eastAsia="Arial" w:hAnsi="Arial"/>
          <w:sz w:val="30"/>
          <w:szCs w:val="30"/>
          <w:color w:val="00326D"/>
        </w:rPr>
        <w:t>e</w:t>
      </w:r>
      <w:r>
        <w:rPr>
          <w:rFonts w:ascii="Arial" w:cs="Arial" w:eastAsia="Arial" w:hAnsi="Arial"/>
          <w:sz w:val="30"/>
          <w:szCs w:val="30"/>
          <w:color w:val="003570"/>
        </w:rPr>
        <w:t>a</w:t>
      </w:r>
      <w:r>
        <w:rPr>
          <w:rFonts w:ascii="Arial" w:cs="Arial" w:eastAsia="Arial" w:hAnsi="Arial"/>
          <w:sz w:val="30"/>
          <w:szCs w:val="30"/>
          <w:color w:val="00306C"/>
        </w:rPr>
        <w:t xml:space="preserve">  </w:t>
      </w:r>
      <w:r>
        <w:rPr>
          <w:rFonts w:ascii="Arial" w:cs="Arial" w:eastAsia="Arial" w:hAnsi="Arial"/>
          <w:sz w:val="30"/>
          <w:szCs w:val="30"/>
          <w:color w:val="003F77"/>
        </w:rPr>
        <w:t>W</w:t>
      </w:r>
      <w:r>
        <w:rPr>
          <w:sz w:val="20"/>
          <w:szCs w:val="20"/>
          <w:color w:val="auto"/>
        </w:rPr>
        <w:tab/>
      </w:r>
      <w:r>
        <w:rPr>
          <w:rFonts w:ascii="Arial" w:cs="Arial" w:eastAsia="Arial" w:hAnsi="Arial"/>
          <w:sz w:val="30"/>
          <w:szCs w:val="30"/>
          <w:color w:val="004F85"/>
        </w:rPr>
        <w:t>L</w:t>
      </w:r>
      <w:r>
        <w:rPr>
          <w:rFonts w:ascii="Arial" w:cs="Arial" w:eastAsia="Arial" w:hAnsi="Arial"/>
          <w:sz w:val="30"/>
          <w:szCs w:val="30"/>
          <w:color w:val="005187"/>
        </w:rPr>
        <w:t>i</w:t>
      </w:r>
      <w:r>
        <w:rPr>
          <w:sz w:val="20"/>
          <w:szCs w:val="20"/>
          <w:color w:val="auto"/>
        </w:rPr>
        <w:tab/>
      </w:r>
      <w:r>
        <w:rPr>
          <w:rFonts w:ascii="Arial" w:cs="Arial" w:eastAsia="Arial" w:hAnsi="Arial"/>
          <w:sz w:val="30"/>
          <w:szCs w:val="30"/>
          <w:color w:val="005C90"/>
        </w:rPr>
        <w:t xml:space="preserve">S </w:t>
      </w:r>
      <w:r>
        <w:rPr>
          <w:rFonts w:ascii="Arial" w:cs="Arial" w:eastAsia="Arial" w:hAnsi="Arial"/>
          <w:sz w:val="30"/>
          <w:szCs w:val="30"/>
          <w:color w:val="006699"/>
        </w:rPr>
        <w:t>i</w:t>
      </w:r>
      <w:r>
        <w:rPr>
          <w:rFonts w:ascii="Arial" w:cs="Arial" w:eastAsia="Arial" w:hAnsi="Arial"/>
          <w:sz w:val="30"/>
          <w:szCs w:val="30"/>
          <w:color w:val="0073A5"/>
        </w:rPr>
        <w:tab/>
        <w:t>c</w:t>
      </w:r>
      <w:r>
        <w:rPr>
          <w:sz w:val="20"/>
          <w:szCs w:val="20"/>
          <w:color w:val="auto"/>
        </w:rPr>
        <w:tab/>
      </w:r>
      <w:r>
        <w:rPr>
          <w:rFonts w:ascii="Arial" w:cs="Arial" w:eastAsia="Arial" w:hAnsi="Arial"/>
          <w:sz w:val="30"/>
          <w:szCs w:val="30"/>
          <w:color w:val="0088B7"/>
        </w:rPr>
        <w:t>S</w:t>
      </w:r>
      <w:r>
        <w:rPr>
          <w:rFonts w:ascii="Arial" w:cs="Arial" w:eastAsia="Arial" w:hAnsi="Arial"/>
          <w:sz w:val="30"/>
          <w:szCs w:val="30"/>
          <w:color w:val="008DBC"/>
        </w:rPr>
        <w:t>t</w:t>
      </w:r>
      <w:r>
        <w:rPr>
          <w:rFonts w:ascii="Arial" w:cs="Arial" w:eastAsia="Arial" w:hAnsi="Arial"/>
          <w:sz w:val="30"/>
          <w:szCs w:val="30"/>
          <w:color w:val="00A1CC"/>
        </w:rPr>
        <w:tab/>
        <w:t xml:space="preserve">k </w:t>
      </w:r>
      <w:r>
        <w:rPr>
          <w:rFonts w:ascii="Arial" w:cs="Arial" w:eastAsia="Arial" w:hAnsi="Arial"/>
          <w:sz w:val="30"/>
          <w:szCs w:val="30"/>
          <w:color w:val="00A9D3"/>
        </w:rPr>
        <w:t>h</w:t>
      </w:r>
      <w:r>
        <w:rPr>
          <w:rFonts w:ascii="Arial" w:cs="Arial" w:eastAsia="Arial" w:hAnsi="Arial"/>
          <w:sz w:val="30"/>
          <w:szCs w:val="30"/>
          <w:color w:val="00A1CC"/>
        </w:rPr>
        <w:t xml:space="preserve"> </w:t>
      </w:r>
      <w:r>
        <w:rPr>
          <w:rFonts w:ascii="Arial" w:cs="Arial" w:eastAsia="Arial" w:hAnsi="Arial"/>
          <w:sz w:val="30"/>
          <w:szCs w:val="30"/>
          <w:color w:val="00B5DD"/>
        </w:rPr>
        <w:t>l</w:t>
      </w:r>
      <w:r>
        <w:rPr>
          <w:rFonts w:ascii="Arial" w:cs="Arial" w:eastAsia="Arial" w:hAnsi="Arial"/>
          <w:sz w:val="30"/>
          <w:szCs w:val="30"/>
          <w:color w:val="00B8DF"/>
        </w:rPr>
        <w:t>d</w:t>
      </w:r>
      <w:r>
        <w:rPr>
          <w:rFonts w:ascii="Arial" w:cs="Arial" w:eastAsia="Arial" w:hAnsi="Arial"/>
          <w:sz w:val="30"/>
          <w:szCs w:val="30"/>
          <w:color w:val="00BDE4"/>
        </w:rPr>
        <w:t>ers,</w:t>
      </w:r>
    </w:p>
    <w:p>
      <w:pPr>
        <w:spacing w:after="0" w:line="137" w:lineRule="exact"/>
        <w:rPr>
          <w:sz w:val="20"/>
          <w:szCs w:val="20"/>
          <w:color w:val="auto"/>
        </w:rPr>
      </w:pPr>
    </w:p>
    <w:p>
      <w:pPr>
        <w:ind w:left="2940" w:right="20" w:firstLine="400"/>
        <w:spacing w:after="0" w:line="300" w:lineRule="auto"/>
        <w:rPr>
          <w:sz w:val="20"/>
          <w:szCs w:val="20"/>
          <w:color w:val="auto"/>
        </w:rPr>
      </w:pPr>
      <w:r>
        <w:rPr>
          <w:rFonts w:ascii="Arial" w:cs="Arial" w:eastAsia="Arial" w:hAnsi="Arial"/>
          <w:sz w:val="21"/>
          <w:szCs w:val="21"/>
          <w:color w:val="002463"/>
        </w:rPr>
        <w:t>I am pleased to share our 2025 Annual Report, which highlights the progress we have made advancing our robust pipeline of RNA medicines. This past year was marked by execution on several pivotal milestones for Wave that demonstrated the strength of our RNA medicine platform and focus on human genetic insights.</w:t>
      </w:r>
    </w:p>
    <w:p>
      <w:pPr>
        <w:spacing w:after="0" w:line="365"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211E1F"/>
        </w:rPr>
        <w:t>We started the year by advancing WVE-007, our first-ever siRNA candidate, into the clinic. WVE-007 has the potential to transform the obesity treatment landscape, as it is designed with our proprietary SpiNA format and targets INHBE, a target with strong evidence from human genetics. In our Phase 1, single-ascending dose clinical trial of WVE-007 in otherwise healthy individuals living with overweight or obesity, we delivered positive clinical data demonstrating favorable safety and potent and durable target engagement, resulting in fat loss, with muscle preservation after just a single dose – a profile that we believe addresses many of the limitations of current incretin standard of care.</w:t>
      </w:r>
    </w:p>
    <w:p>
      <w:pPr>
        <w:spacing w:after="0" w:line="91"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color w:val="211E1F"/>
        </w:rPr>
        <w:t>We also advanced our RNA editing pipeline of “AIMers,” a therapeutic modality pioneered by Wave and enabled by our unique chemistry. Leading this pipeline, we delivered data for WVE- 006, our GalNAc-RNA editing oligonucleotide for the treatment of alpha-1 antitrypsin deficiency (AATD). These data demonstrated the potential advantages of a correction approach with robust RNA editing leading to dose-dependent restorations of healthy, wild-type protein; reductions of mutant protein; and restoration of dynamic protein production during acute phase response – with favorable safety and without risk for permanent oﬀ-target eﬀects. These data validated the potential of our AIMer editing technology and derisked our second candidate, WVE-008 for homozygous PNPLA3 I148M liver disease, which builds on our RNA editing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6858000" cy="2286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0"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40" w:firstLine="680"/>
        <w:spacing w:after="0" w:line="297" w:lineRule="auto"/>
        <w:rPr>
          <w:sz w:val="20"/>
          <w:szCs w:val="20"/>
          <w:color w:val="auto"/>
        </w:rPr>
      </w:pPr>
      <w:r>
        <w:rPr>
          <w:rFonts w:ascii="Arial" w:cs="Arial" w:eastAsia="Arial" w:hAnsi="Arial"/>
          <w:sz w:val="30"/>
          <w:szCs w:val="30"/>
          <w:color w:val="FFFFFF"/>
        </w:rPr>
        <w:t>We entered 2026 with a strong balance sheet, momentum in the pipeline, and clear strategic focus: accelerating development of our WVE-007 INHBE GalNAc-siRNA program for obesity and rapidly advancing our RNA editing portfolio, led by WVE-006 for AATD, and followed closely by WVE-008 for PNPLA3 I148M liver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287020</wp:posOffset>
            </wp:positionV>
            <wp:extent cx="7543800" cy="1005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1005840"/>
                    </a:xfrm>
                    <a:prstGeom prst="rect">
                      <a:avLst/>
                    </a:prstGeom>
                    <a:noFill/>
                  </pic:spPr>
                </pic:pic>
              </a:graphicData>
            </a:graphic>
          </wp:anchor>
        </w:drawing>
      </w:r>
    </w:p>
    <w:p>
      <w:pPr>
        <w:sectPr>
          <w:pgSz w:w="11880" w:h="15480" w:orient="portrait"/>
          <w:cols w:equalWidth="0" w:num="1">
            <w:col w:w="9500"/>
          </w:cols>
          <w:pgMar w:left="1080" w:top="1212" w:right="1300" w:bottom="1440" w:gutter="0" w:footer="0" w:header="0"/>
        </w:sectPr>
      </w:pPr>
    </w:p>
    <w:bookmarkStart w:id="2" w:name="page3"/>
    <w:bookmarkEnd w:id="2"/>
    <w:p>
      <w:pPr>
        <w:ind w:left="80" w:right="100"/>
        <w:spacing w:after="0" w:line="365" w:lineRule="auto"/>
        <w:rPr>
          <w:sz w:val="20"/>
          <w:szCs w:val="20"/>
          <w:color w:val="auto"/>
        </w:rPr>
      </w:pPr>
      <w:r>
        <w:rPr>
          <w:rFonts w:ascii="Arial" w:cs="Arial" w:eastAsia="Arial" w:hAnsi="Arial"/>
          <w:sz w:val="21"/>
          <w:szCs w:val="21"/>
          <w:color w:val="00BDE4"/>
        </w:rPr>
        <w:drawing>
          <wp:anchor simplePos="0" relativeHeight="251657728" behindDoc="1" locked="0" layoutInCell="0" allowOverlap="1">
            <wp:simplePos x="0" y="0"/>
            <wp:positionH relativeFrom="page">
              <wp:posOffset>0</wp:posOffset>
            </wp:positionH>
            <wp:positionV relativeFrom="page">
              <wp:posOffset>0</wp:posOffset>
            </wp:positionV>
            <wp:extent cx="930910" cy="255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0910" cy="2559050"/>
                    </a:xfrm>
                    <a:prstGeom prst="rect">
                      <a:avLst/>
                    </a:prstGeom>
                    <a:noFill/>
                  </pic:spPr>
                </pic:pic>
              </a:graphicData>
            </a:graphic>
          </wp:anchor>
        </w:drawing>
        <w:t>Advancing WVE-007 as a potentially transformational therapy for obesity and cardiometabolic disorders across treatment settings</w:t>
      </w:r>
    </w:p>
    <w:p>
      <w:pPr>
        <w:spacing w:after="0" w:line="2" w:lineRule="exact"/>
        <w:rPr>
          <w:sz w:val="20"/>
          <w:szCs w:val="20"/>
          <w:color w:val="auto"/>
        </w:rPr>
      </w:pPr>
    </w:p>
    <w:p>
      <w:pPr>
        <w:ind w:left="80" w:right="60"/>
        <w:spacing w:after="0" w:line="296" w:lineRule="auto"/>
        <w:rPr>
          <w:sz w:val="20"/>
          <w:szCs w:val="20"/>
          <w:color w:val="auto"/>
        </w:rPr>
      </w:pPr>
      <w:r>
        <w:rPr>
          <w:rFonts w:ascii="Arial" w:cs="Arial" w:eastAsia="Arial" w:hAnsi="Arial"/>
          <w:sz w:val="18"/>
          <w:szCs w:val="18"/>
          <w:color w:val="211E1F"/>
        </w:rPr>
        <w:t>WVE-007 is a GalNAc-siRNA that utilizes our proprietary design (SpiNA). WVE-007 is designed to silence INHBE mRNA to induce fat loss by stimulating lipolysis (fat breakdown) while preserving muscle mass to promote and maintain a healthy metabolic profile. By using GalNAc-siRNA silencing, we aim to recapitulate the protective phenotype of INHBE loss-of-function heterozygous carriers, as individuals who have this protective loss-of-function mutation in the INHBE gene exhibit a healthy metabolic profile, including reduced waist-to-hip ratio and reduced odds of developing type 2 diabetes or coronary artery disease.</w:t>
      </w:r>
    </w:p>
    <w:p>
      <w:pPr>
        <w:spacing w:after="0" w:line="88" w:lineRule="exact"/>
        <w:rPr>
          <w:sz w:val="20"/>
          <w:szCs w:val="20"/>
          <w:color w:val="auto"/>
        </w:rPr>
      </w:pPr>
    </w:p>
    <w:p>
      <w:pPr>
        <w:ind w:left="80" w:right="60"/>
        <w:spacing w:after="0" w:line="308" w:lineRule="auto"/>
        <w:rPr>
          <w:sz w:val="20"/>
          <w:szCs w:val="20"/>
          <w:color w:val="auto"/>
        </w:rPr>
      </w:pPr>
      <w:r>
        <w:rPr>
          <w:rFonts w:ascii="Arial" w:cs="Arial" w:eastAsia="Arial" w:hAnsi="Arial"/>
          <w:sz w:val="18"/>
          <w:szCs w:val="18"/>
          <w:color w:val="211E1F"/>
        </w:rPr>
        <w:t>Despite the rapid ascension of GLP-1s as standard of care, their use is often limited by frequent dosing, loss of muscle mass, poor tolerability, and high discontinuation rates. With WVE-007’s mechanism that is orthogonal from GLP-1s, focusing on peripheral action directly on fat tissue, rather than centrally-acting appetite regulation, we intend to evaluate WVE-007 across multiple treatment settings.</w:t>
      </w:r>
    </w:p>
    <w:p>
      <w:pPr>
        <w:spacing w:after="0" w:line="77" w:lineRule="exact"/>
        <w:rPr>
          <w:sz w:val="20"/>
          <w:szCs w:val="20"/>
          <w:color w:val="auto"/>
        </w:rPr>
      </w:pPr>
    </w:p>
    <w:p>
      <w:pPr>
        <w:ind w:left="80"/>
        <w:spacing w:after="0" w:line="293" w:lineRule="auto"/>
        <w:rPr>
          <w:sz w:val="20"/>
          <w:szCs w:val="20"/>
          <w:color w:val="auto"/>
        </w:rPr>
      </w:pPr>
      <w:r>
        <w:rPr>
          <w:rFonts w:ascii="Arial" w:cs="Arial" w:eastAsia="Arial" w:hAnsi="Arial"/>
          <w:sz w:val="18"/>
          <w:szCs w:val="18"/>
          <w:color w:val="211E1F"/>
        </w:rPr>
        <w:t>First, we plan to evaluate WVE-007 as a monotherapy in a Phase 2a population with higher BMI and comorbidities typical of other obesity trials. Dosing is underway in the Phase 2a multidose portion of the INLIGHT™ trial of WVE-007 in individuals with higher BMI (35-50 kg/m</w:t>
      </w:r>
      <w:r>
        <w:rPr>
          <w:rFonts w:ascii="Arial" w:cs="Arial" w:eastAsia="Arial" w:hAnsi="Arial"/>
          <w:sz w:val="10"/>
          <w:szCs w:val="10"/>
          <w:color w:val="211E1F"/>
        </w:rPr>
        <w:t>2</w:t>
      </w:r>
      <w:r>
        <w:rPr>
          <w:rFonts w:ascii="Arial" w:cs="Arial" w:eastAsia="Arial" w:hAnsi="Arial"/>
          <w:sz w:val="18"/>
          <w:szCs w:val="18"/>
          <w:color w:val="211E1F"/>
        </w:rPr>
        <w:t>), with and without type 2 diabetes. This portion of the trial is enrolling participants across the United States and Europe and includes multiple assessments, including body weight, waist circumference, body composition (MRI and DEXA), liver fat (MRI-PDFF), HbA1c, and lipid levels. These data will inform further development of WVE-007 in obesity, as well as in MASH, type 2 diabetes, and other cardiometabolic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-90805</wp:posOffset>
            </wp:positionV>
            <wp:extent cx="4098290" cy="5807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98290" cy="5807710"/>
                    </a:xfrm>
                    <a:prstGeom prst="rect">
                      <a:avLst/>
                    </a:prstGeom>
                    <a:noFill/>
                  </pic:spPr>
                </pic:pic>
              </a:graphicData>
            </a:graphic>
          </wp:anchor>
        </w:drawing>
      </w:r>
    </w:p>
    <w:p>
      <w:pPr>
        <w:spacing w:after="0" w:line="71" w:lineRule="exact"/>
        <w:rPr>
          <w:sz w:val="20"/>
          <w:szCs w:val="20"/>
          <w:color w:val="auto"/>
        </w:rPr>
      </w:pPr>
    </w:p>
    <w:p>
      <w:pPr>
        <w:ind w:left="80" w:right="120"/>
        <w:spacing w:after="0" w:line="301" w:lineRule="auto"/>
        <w:rPr>
          <w:sz w:val="20"/>
          <w:szCs w:val="20"/>
          <w:color w:val="auto"/>
        </w:rPr>
      </w:pPr>
      <w:r>
        <w:rPr>
          <w:rFonts w:ascii="Arial" w:cs="Arial" w:eastAsia="Arial" w:hAnsi="Arial"/>
          <w:sz w:val="18"/>
          <w:szCs w:val="18"/>
          <w:color w:val="211E1F"/>
        </w:rPr>
        <w:t>Second, we plan to evaluate WVE-007 in combination with incretins, which has potential to deepen weight loss and enhance metabolic benefits. We have delivered preclinical data demonstrating that our INHBE GalNAc-siRNA in combination with GLP-1 doubled weight loss in mice. We have recently initiated our placebo-controlled Phase 2a combination clinical trial, which will evaluate 240 mg and 400 mg doses of WVE-007 in combination with weekly tirzepatide in individuals living with obesity (BMI 35-50 kg/m</w:t>
      </w:r>
      <w:r>
        <w:rPr>
          <w:rFonts w:ascii="Arial" w:cs="Arial" w:eastAsia="Arial" w:hAnsi="Arial"/>
          <w:sz w:val="10"/>
          <w:szCs w:val="10"/>
          <w:color w:val="211E1F"/>
        </w:rPr>
        <w:t>2</w:t>
      </w:r>
      <w:r>
        <w:rPr>
          <w:rFonts w:ascii="Arial" w:cs="Arial" w:eastAsia="Arial" w:hAnsi="Arial"/>
          <w:sz w:val="18"/>
          <w:szCs w:val="18"/>
          <w:color w:val="211E1F"/>
        </w:rPr>
        <w:t>) and type 2 diabetes.</w:t>
      </w:r>
    </w:p>
    <w:p>
      <w:pPr>
        <w:spacing w:after="0" w:line="82" w:lineRule="exact"/>
        <w:rPr>
          <w:sz w:val="20"/>
          <w:szCs w:val="20"/>
          <w:color w:val="auto"/>
        </w:rPr>
      </w:pPr>
    </w:p>
    <w:p>
      <w:pPr>
        <w:ind w:left="80" w:right="100"/>
        <w:spacing w:after="0" w:line="291" w:lineRule="auto"/>
        <w:rPr>
          <w:sz w:val="20"/>
          <w:szCs w:val="20"/>
          <w:color w:val="auto"/>
        </w:rPr>
      </w:pPr>
      <w:r>
        <w:rPr>
          <w:rFonts w:ascii="Arial" w:cs="Arial" w:eastAsia="Arial" w:hAnsi="Arial"/>
          <w:sz w:val="18"/>
          <w:szCs w:val="18"/>
          <w:color w:val="211E1F"/>
        </w:rPr>
        <w:t>Third, we plan to evaluate WVE-007 as a maintenance therapy, to preserve weight loss following discontinuation of incretin treatment. This would represent an entirely new commercial frontier enabling patients an oﬀ-ramp for their incretins. Current standard-of-care therapies reduce body weight through both fat loss and muscle loss, and they carry high discontinuation rates. Up to 70% of people discontinue incretin therapy after one year. Notably, following discontinuation of incretin therapy, individuals regain almost 70% of the weight loss achieved prior to discontinuation, predominantly due to fat rather than muscle regain. Building on our strong preclinical evidence supporting WVE-007’s potential to maintain long-term fat loss, we expect to initiate a Phase 2 post-incretin maintenance trial in the second half of 2026.</w:t>
      </w:r>
    </w:p>
    <w:p>
      <w:pPr>
        <w:spacing w:after="0" w:line="366" w:lineRule="exact"/>
        <w:rPr>
          <w:sz w:val="20"/>
          <w:szCs w:val="20"/>
          <w:color w:val="auto"/>
        </w:rPr>
      </w:pPr>
    </w:p>
    <w:p>
      <w:pPr>
        <w:ind w:left="80"/>
        <w:spacing w:after="0"/>
        <w:rPr>
          <w:sz w:val="20"/>
          <w:szCs w:val="20"/>
          <w:color w:val="auto"/>
        </w:rPr>
      </w:pPr>
      <w:r>
        <w:rPr>
          <w:rFonts w:ascii="Arial" w:cs="Arial" w:eastAsia="Arial" w:hAnsi="Arial"/>
          <w:sz w:val="21"/>
          <w:szCs w:val="21"/>
          <w:color w:val="00BDE4"/>
        </w:rPr>
        <w:t>Advancing WVE-006 for AATD towards the next stages of development</w:t>
      </w:r>
    </w:p>
    <w:p>
      <w:pPr>
        <w:spacing w:after="0" w:line="215" w:lineRule="exact"/>
        <w:rPr>
          <w:sz w:val="20"/>
          <w:szCs w:val="20"/>
          <w:color w:val="auto"/>
        </w:rPr>
      </w:pPr>
    </w:p>
    <w:p>
      <w:pPr>
        <w:ind w:left="80"/>
        <w:spacing w:after="0" w:line="289" w:lineRule="auto"/>
        <w:rPr>
          <w:sz w:val="20"/>
          <w:szCs w:val="20"/>
          <w:color w:val="auto"/>
        </w:rPr>
      </w:pPr>
      <w:r>
        <w:rPr>
          <w:rFonts w:ascii="Arial" w:cs="Arial" w:eastAsia="Arial" w:hAnsi="Arial"/>
          <w:sz w:val="18"/>
          <w:szCs w:val="18"/>
          <w:color w:val="211E1F"/>
        </w:rPr>
        <w:t>Approximately 200,000 individuals in the United States and Europe live with homozygous Pi*ZZ AATD. Currently, the only approved treatment for AATD is weekly IV, plasma- derived augmentation therapy, which carries several limitations. With a fixed, scheduled dose, there is no restoration of dynamic response, leaving individuals with alpha-1 at risk if AAT protein levels fall too low during an infectious or inflammatory event. IV therapy is time consuming, and often requires in-patient visits, and does nothing to lower Z-AAT to address the risk of liver disease. Investigational therapies in development also come with several limitations. DNA base editing approaches target both lung and liver, but they introduce permanent DNA modifications, carry bystander editing risk, and rely on LNP delivery, which is associated with liver enzyme elevations. The risk of irreversible oﬀ-target eﬀects is particularly notable as genomic DNA editing has been connected to editing in cancer-associated genes.</w:t>
      </w:r>
    </w:p>
    <w:p>
      <w:pPr>
        <w:spacing w:after="0" w:line="97" w:lineRule="exact"/>
        <w:rPr>
          <w:sz w:val="20"/>
          <w:szCs w:val="20"/>
          <w:color w:val="auto"/>
        </w:rPr>
      </w:pPr>
    </w:p>
    <w:p>
      <w:pPr>
        <w:ind w:left="80" w:right="100"/>
        <w:spacing w:after="0" w:line="296" w:lineRule="auto"/>
        <w:rPr>
          <w:sz w:val="20"/>
          <w:szCs w:val="20"/>
          <w:color w:val="auto"/>
        </w:rPr>
      </w:pPr>
      <w:r>
        <w:rPr>
          <w:rFonts w:ascii="Arial" w:cs="Arial" w:eastAsia="Arial" w:hAnsi="Arial"/>
          <w:sz w:val="18"/>
          <w:szCs w:val="18"/>
          <w:color w:val="211E1F"/>
        </w:rPr>
        <w:t>Designed using our proprietary PRISM chemistry, which drives potency, specificity, stability, distribution and delivery, WVE-006 has the potential to be the first treatment for AATD that enables patients to produce protective AAT protein when needed and address the root cause of the disease with a convenient, and infrequent, subcutaneously dosed therapeutic. With WVE-006, our goal is to recapitulate an MZ-like phenotype as it is well established that heterozygous individuals have low risk of both lung and liver disease. MZ individuals, compared to ZZs, have reduced levels of Z-AAT which protects the liver from damage and are able to protect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-267335</wp:posOffset>
            </wp:positionV>
            <wp:extent cx="1661160" cy="794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1160" cy="794385"/>
                    </a:xfrm>
                    <a:prstGeom prst="rect">
                      <a:avLst/>
                    </a:prstGeom>
                    <a:noFill/>
                  </pic:spPr>
                </pic:pic>
              </a:graphicData>
            </a:graphic>
          </wp:anchor>
        </w:drawing>
      </w:r>
    </w:p>
    <w:p>
      <w:pPr>
        <w:sectPr>
          <w:pgSz w:w="11880" w:h="15480" w:orient="portrait"/>
          <w:cols w:equalWidth="0" w:num="1">
            <w:col w:w="9220"/>
          </w:cols>
          <w:pgMar w:left="1440" w:top="1212" w:right="1220" w:bottom="265" w:gutter="0" w:footer="0" w:header="0"/>
        </w:sectPr>
      </w:pPr>
    </w:p>
    <w:bookmarkStart w:id="3" w:name="page4"/>
    <w:bookmarkEnd w:id="3"/>
    <w:p>
      <w:pPr>
        <w:ind w:left="260" w:right="20"/>
        <w:spacing w:after="0" w:line="370" w:lineRule="auto"/>
        <w:rPr>
          <w:sz w:val="20"/>
          <w:szCs w:val="20"/>
          <w:color w:val="auto"/>
        </w:rPr>
      </w:pPr>
      <w:r>
        <w:rPr>
          <w:rFonts w:ascii="Arial" w:cs="Arial" w:eastAsia="Arial" w:hAnsi="Arial"/>
          <w:sz w:val="18"/>
          <w:szCs w:val="18"/>
          <w:color w:val="211E1F"/>
        </w:rPr>
        <w:drawing>
          <wp:anchor simplePos="0" relativeHeight="251657728" behindDoc="1" locked="0" layoutInCell="0" allowOverlap="1">
            <wp:simplePos x="0" y="0"/>
            <wp:positionH relativeFrom="page">
              <wp:posOffset>3392805</wp:posOffset>
            </wp:positionH>
            <wp:positionV relativeFrom="page">
              <wp:posOffset>0</wp:posOffset>
            </wp:positionV>
            <wp:extent cx="4150995" cy="6068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0995" cy="6068060"/>
                    </a:xfrm>
                    <a:prstGeom prst="rect">
                      <a:avLst/>
                    </a:prstGeom>
                    <a:noFill/>
                  </pic:spPr>
                </pic:pic>
              </a:graphicData>
            </a:graphic>
          </wp:anchor>
        </w:drawing>
        <w:t xml:space="preserve">lung with basal AAT levels above 11 </w:t>
      </w:r>
      <w:r>
        <w:rPr>
          <w:rFonts w:ascii="Arial" w:cs="Arial" w:eastAsia="Arial" w:hAnsi="Arial"/>
          <w:sz w:val="18"/>
          <w:szCs w:val="18"/>
          <w:color w:val="211E1F"/>
        </w:rPr>
        <w:t>μ</w:t>
      </w:r>
      <w:r>
        <w:rPr>
          <w:rFonts w:ascii="Arial" w:cs="Arial" w:eastAsia="Arial" w:hAnsi="Arial"/>
          <w:sz w:val="18"/>
          <w:szCs w:val="18"/>
          <w:color w:val="211E1F"/>
        </w:rPr>
        <w:t>M of which at least 50% is wild-type M-AAT, and most importantly, are able to mount a dynamic AAT response during an acute infection.</w:t>
      </w:r>
    </w:p>
    <w:p>
      <w:pPr>
        <w:spacing w:after="0" w:line="22" w:lineRule="exact"/>
        <w:rPr>
          <w:sz w:val="20"/>
          <w:szCs w:val="20"/>
          <w:color w:val="auto"/>
        </w:rPr>
      </w:pPr>
    </w:p>
    <w:p>
      <w:pPr>
        <w:ind w:left="260" w:right="100"/>
        <w:spacing w:after="0" w:line="301" w:lineRule="auto"/>
        <w:rPr>
          <w:sz w:val="20"/>
          <w:szCs w:val="20"/>
          <w:color w:val="auto"/>
        </w:rPr>
      </w:pPr>
      <w:r>
        <w:rPr>
          <w:rFonts w:ascii="Arial" w:cs="Arial" w:eastAsia="Arial" w:hAnsi="Arial"/>
          <w:sz w:val="18"/>
          <w:szCs w:val="18"/>
          <w:color w:val="211E1F"/>
        </w:rPr>
        <w:t>We are investigating WVE-006 in our RestorAATion-2 trial and have delivered data from the trial which support WVE-006’s potential to o</w:t>
      </w:r>
      <w:r>
        <w:rPr>
          <w:rFonts w:ascii="Arial" w:cs="Arial" w:eastAsia="Arial" w:hAnsi="Arial"/>
          <w:sz w:val="18"/>
          <w:szCs w:val="18"/>
          <w:color w:val="211E1F"/>
        </w:rPr>
        <w:t>ﬀ</w:t>
      </w:r>
      <w:r>
        <w:rPr>
          <w:rFonts w:ascii="Arial" w:cs="Arial" w:eastAsia="Arial" w:hAnsi="Arial"/>
          <w:sz w:val="18"/>
          <w:szCs w:val="18"/>
          <w:color w:val="211E1F"/>
        </w:rPr>
        <w:t>er a new standard of care for individuals living with AATD. Enrollment and dosing are complete in the 200 mg, 400 mg, and 600 mg cohorts of RestorAATion-2 and we remain on track to share data from the 600 mg monthly dosing cohort in the second half of 2026, which will inform the dose and dose frequency for our potentially registrational study.</w:t>
      </w:r>
    </w:p>
    <w:p>
      <w:pPr>
        <w:spacing w:after="0" w:line="336" w:lineRule="exact"/>
        <w:rPr>
          <w:sz w:val="20"/>
          <w:szCs w:val="20"/>
          <w:color w:val="auto"/>
        </w:rPr>
      </w:pPr>
    </w:p>
    <w:p>
      <w:pPr>
        <w:ind w:left="260"/>
        <w:spacing w:after="0"/>
        <w:rPr>
          <w:sz w:val="20"/>
          <w:szCs w:val="20"/>
          <w:color w:val="auto"/>
        </w:rPr>
      </w:pPr>
      <w:r>
        <w:rPr>
          <w:rFonts w:ascii="Arial" w:cs="Arial" w:eastAsia="Arial" w:hAnsi="Arial"/>
          <w:sz w:val="21"/>
          <w:szCs w:val="21"/>
          <w:color w:val="00BDE4"/>
        </w:rPr>
        <w:t>Advancing WVE-008 toward the clinic for PNPLA3 I148M liver disease</w:t>
      </w:r>
    </w:p>
    <w:p>
      <w:pPr>
        <w:spacing w:after="0" w:line="215" w:lineRule="exact"/>
        <w:rPr>
          <w:sz w:val="20"/>
          <w:szCs w:val="20"/>
          <w:color w:val="auto"/>
        </w:rPr>
      </w:pPr>
    </w:p>
    <w:p>
      <w:pPr>
        <w:ind w:left="260" w:right="40"/>
        <w:spacing w:after="0" w:line="291" w:lineRule="auto"/>
        <w:rPr>
          <w:sz w:val="20"/>
          <w:szCs w:val="20"/>
          <w:color w:val="auto"/>
        </w:rPr>
      </w:pPr>
      <w:r>
        <w:rPr>
          <w:rFonts w:ascii="Arial" w:cs="Arial" w:eastAsia="Arial" w:hAnsi="Arial"/>
          <w:sz w:val="18"/>
          <w:szCs w:val="18"/>
          <w:color w:val="211E1F"/>
        </w:rPr>
        <w:t>The PNPLA3 variant is a well-established driver of MASH and liver diseases but there are currently no approved medicines that directly address this biology. There are an estimated nine million homozygous PNPLA3 I148M carriers across the United States and Europe who are at a nine-fold higher risk of dying from their liver disease compared to non-carriers. Additionally, homozygous PNPLA3 I148M carriers with MASH may experience more severe disease with faster progression to advanced fibrosis and end-stage liver disease. Currently, the only treatment options are non-precision medicines aimed at reducing liver steatosis and early fibrosis. Therapeutic approaches aimed at silencing PNPLA3 may partially address liver fat accumulation, but they provide limited benefit in addressing inflammation and fibrosis.</w:t>
      </w:r>
    </w:p>
    <w:p>
      <w:pPr>
        <w:spacing w:after="0" w:line="92" w:lineRule="exact"/>
        <w:rPr>
          <w:sz w:val="20"/>
          <w:szCs w:val="20"/>
          <w:color w:val="auto"/>
        </w:rPr>
      </w:pPr>
    </w:p>
    <w:p>
      <w:pPr>
        <w:jc w:val="both"/>
        <w:ind w:left="260" w:right="500"/>
        <w:spacing w:after="0" w:line="302" w:lineRule="auto"/>
        <w:rPr>
          <w:sz w:val="20"/>
          <w:szCs w:val="20"/>
          <w:color w:val="auto"/>
        </w:rPr>
      </w:pPr>
      <w:r>
        <w:rPr>
          <w:rFonts w:ascii="Arial" w:cs="Arial" w:eastAsia="Arial" w:hAnsi="Arial"/>
          <w:sz w:val="18"/>
          <w:szCs w:val="18"/>
          <w:color w:val="211E1F"/>
        </w:rPr>
        <w:t>WVE-008 aims to correct the I148M variant using our leading RNA editing capability, which is expected to restore PNPLA3 activity and lipid mobilization, reversing steatosis and fibrosis, and improving liver health.</w:t>
      </w:r>
    </w:p>
    <w:p>
      <w:pPr>
        <w:spacing w:after="0" w:line="1" w:lineRule="exact"/>
        <w:rPr>
          <w:sz w:val="20"/>
          <w:szCs w:val="20"/>
          <w:color w:val="auto"/>
        </w:rPr>
      </w:pPr>
    </w:p>
    <w:p>
      <w:pPr>
        <w:ind w:left="260" w:right="80"/>
        <w:spacing w:after="0" w:line="321" w:lineRule="auto"/>
        <w:rPr>
          <w:sz w:val="20"/>
          <w:szCs w:val="20"/>
          <w:color w:val="auto"/>
        </w:rPr>
      </w:pPr>
      <w:r>
        <w:rPr>
          <w:rFonts w:ascii="Arial" w:cs="Arial" w:eastAsia="Arial" w:hAnsi="Arial"/>
          <w:sz w:val="18"/>
          <w:szCs w:val="18"/>
          <w:color w:val="211E1F"/>
        </w:rPr>
        <w:t>We have delivered a growing body of preclinical data supporting our RNA editing approach and remain on track to file a clinical trial application (CTA) for WVE-008 in the second half of 2026.</w:t>
      </w:r>
    </w:p>
    <w:p>
      <w:pPr>
        <w:spacing w:after="0" w:line="338" w:lineRule="exact"/>
        <w:rPr>
          <w:sz w:val="20"/>
          <w:szCs w:val="20"/>
          <w:color w:val="auto"/>
        </w:rPr>
      </w:pPr>
    </w:p>
    <w:p>
      <w:pPr>
        <w:spacing w:after="0" w:line="297" w:lineRule="auto"/>
        <w:rPr>
          <w:sz w:val="20"/>
          <w:szCs w:val="20"/>
          <w:color w:val="auto"/>
        </w:rPr>
      </w:pPr>
      <w:r>
        <w:rPr>
          <w:rFonts w:ascii="Arial" w:cs="Arial" w:eastAsia="Arial" w:hAnsi="Arial"/>
          <w:sz w:val="21"/>
          <w:szCs w:val="21"/>
          <w:color w:val="002463"/>
        </w:rPr>
        <w:t>With the clinical translation of our RNAi and RNA editing programs, we are excited to build on our progress as we look forward to multiple key catalysts in 2026 and beyond. We remain focused and driven to deliver on our ambitious goal of unlocking the broad potential of RNA medicines to transform human health for the patients, families, and caregivers who are the motivation for the work we do each day. They remain our strongest source of inspiration, and we extend our deepest gratitude to them.</w:t>
      </w:r>
    </w:p>
    <w:p>
      <w:pPr>
        <w:spacing w:after="0" w:line="260" w:lineRule="exact"/>
        <w:rPr>
          <w:sz w:val="20"/>
          <w:szCs w:val="20"/>
          <w:color w:val="auto"/>
        </w:rPr>
      </w:pPr>
    </w:p>
    <w:p>
      <w:pPr>
        <w:ind w:right="620"/>
        <w:spacing w:after="0" w:line="387" w:lineRule="auto"/>
        <w:rPr>
          <w:sz w:val="20"/>
          <w:szCs w:val="20"/>
          <w:color w:val="auto"/>
        </w:rPr>
      </w:pPr>
      <w:r>
        <w:rPr>
          <w:rFonts w:ascii="Arial" w:cs="Arial" w:eastAsia="Arial" w:hAnsi="Arial"/>
          <w:sz w:val="30"/>
          <w:szCs w:val="30"/>
          <w:color w:val="002463"/>
        </w:rPr>
        <w:t>On behal</w:t>
      </w:r>
      <w:r>
        <w:rPr>
          <w:rFonts w:ascii="Arial" w:cs="Arial" w:eastAsia="Arial" w:hAnsi="Arial"/>
          <w:sz w:val="30"/>
          <w:szCs w:val="30"/>
          <w:color w:val="002564"/>
        </w:rPr>
        <w:t>f</w:t>
      </w:r>
      <w:r>
        <w:rPr>
          <w:rFonts w:ascii="Arial" w:cs="Arial" w:eastAsia="Arial" w:hAnsi="Arial"/>
          <w:sz w:val="30"/>
          <w:szCs w:val="30"/>
          <w:color w:val="002463"/>
        </w:rPr>
        <w:t xml:space="preserve"> </w:t>
      </w:r>
      <w:r>
        <w:rPr>
          <w:rFonts w:ascii="Arial" w:cs="Arial" w:eastAsia="Arial" w:hAnsi="Arial"/>
          <w:sz w:val="30"/>
          <w:szCs w:val="30"/>
          <w:color w:val="002B68"/>
        </w:rPr>
        <w:t>f</w:t>
      </w:r>
      <w:r>
        <w:rPr>
          <w:rFonts w:ascii="Arial" w:cs="Arial" w:eastAsia="Arial" w:hAnsi="Arial"/>
          <w:sz w:val="30"/>
          <w:szCs w:val="30"/>
          <w:color w:val="002463"/>
        </w:rPr>
        <w:t xml:space="preserve"> </w:t>
      </w:r>
      <w:r>
        <w:rPr>
          <w:rFonts w:ascii="Arial" w:cs="Arial" w:eastAsia="Arial" w:hAnsi="Arial"/>
          <w:sz w:val="30"/>
          <w:szCs w:val="30"/>
          <w:color w:val="002E6B"/>
        </w:rPr>
        <w:t>e</w:t>
      </w:r>
      <w:r>
        <w:rPr>
          <w:rFonts w:ascii="Arial" w:cs="Arial" w:eastAsia="Arial" w:hAnsi="Arial"/>
          <w:sz w:val="30"/>
          <w:szCs w:val="30"/>
          <w:color w:val="002463"/>
        </w:rPr>
        <w:t xml:space="preserve"> </w:t>
      </w:r>
      <w:r>
        <w:rPr>
          <w:rFonts w:ascii="Arial" w:cs="Arial" w:eastAsia="Arial" w:hAnsi="Arial"/>
          <w:sz w:val="30"/>
          <w:szCs w:val="30"/>
          <w:color w:val="00346F"/>
        </w:rPr>
        <w:t>e</w:t>
      </w:r>
      <w:r>
        <w:rPr>
          <w:rFonts w:ascii="Arial" w:cs="Arial" w:eastAsia="Arial" w:hAnsi="Arial"/>
          <w:sz w:val="30"/>
          <w:szCs w:val="30"/>
          <w:color w:val="002463"/>
        </w:rPr>
        <w:t xml:space="preserve"> </w:t>
      </w:r>
      <w:r>
        <w:rPr>
          <w:rFonts w:ascii="Arial" w:cs="Arial" w:eastAsia="Arial" w:hAnsi="Arial"/>
          <w:sz w:val="30"/>
          <w:szCs w:val="30"/>
          <w:color w:val="003E77"/>
        </w:rPr>
        <w:t>n</w:t>
      </w:r>
      <w:r>
        <w:rPr>
          <w:rFonts w:ascii="Arial" w:cs="Arial" w:eastAsia="Arial" w:hAnsi="Arial"/>
          <w:sz w:val="30"/>
          <w:szCs w:val="30"/>
          <w:color w:val="002463"/>
        </w:rPr>
        <w:t xml:space="preserve"> </w:t>
      </w:r>
      <w:r>
        <w:rPr>
          <w:rFonts w:ascii="Arial" w:cs="Arial" w:eastAsia="Arial" w:hAnsi="Arial"/>
          <w:sz w:val="30"/>
          <w:szCs w:val="30"/>
          <w:color w:val="00477F"/>
        </w:rPr>
        <w:t>t</w:t>
      </w:r>
      <w:r>
        <w:rPr>
          <w:rFonts w:ascii="Arial" w:cs="Arial" w:eastAsia="Arial" w:hAnsi="Arial"/>
          <w:sz w:val="30"/>
          <w:szCs w:val="30"/>
          <w:color w:val="002463"/>
        </w:rPr>
        <w:t xml:space="preserve"> </w:t>
      </w:r>
      <w:r>
        <w:rPr>
          <w:rFonts w:ascii="Arial" w:cs="Arial" w:eastAsia="Arial" w:hAnsi="Arial"/>
          <w:sz w:val="30"/>
          <w:szCs w:val="30"/>
          <w:color w:val="004980"/>
        </w:rPr>
        <w:t>W</w:t>
      </w:r>
      <w:r>
        <w:rPr>
          <w:rFonts w:ascii="Arial" w:cs="Arial" w:eastAsia="Arial" w:hAnsi="Arial"/>
          <w:sz w:val="30"/>
          <w:szCs w:val="30"/>
          <w:color w:val="004F85"/>
        </w:rPr>
        <w:t>a</w:t>
      </w:r>
      <w:r>
        <w:rPr>
          <w:rFonts w:ascii="Arial" w:cs="Arial" w:eastAsia="Arial" w:hAnsi="Arial"/>
          <w:sz w:val="30"/>
          <w:szCs w:val="30"/>
          <w:color w:val="005086"/>
        </w:rPr>
        <w:t>v</w:t>
      </w:r>
      <w:r>
        <w:rPr>
          <w:rFonts w:ascii="Arial" w:cs="Arial" w:eastAsia="Arial" w:hAnsi="Arial"/>
          <w:sz w:val="30"/>
          <w:szCs w:val="30"/>
          <w:color w:val="002463"/>
        </w:rPr>
        <w:t xml:space="preserve"> </w:t>
      </w:r>
      <w:r>
        <w:rPr>
          <w:rFonts w:ascii="Arial" w:cs="Arial" w:eastAsia="Arial" w:hAnsi="Arial"/>
          <w:sz w:val="30"/>
          <w:szCs w:val="30"/>
          <w:color w:val="00568C"/>
        </w:rPr>
        <w:t>,</w:t>
      </w:r>
      <w:r>
        <w:rPr>
          <w:rFonts w:ascii="Arial" w:cs="Arial" w:eastAsia="Arial" w:hAnsi="Arial"/>
          <w:sz w:val="30"/>
          <w:szCs w:val="30"/>
          <w:color w:val="002463"/>
        </w:rPr>
        <w:t xml:space="preserve"> </w:t>
      </w:r>
      <w:r>
        <w:rPr>
          <w:rFonts w:ascii="Arial" w:cs="Arial" w:eastAsia="Arial" w:hAnsi="Arial"/>
          <w:sz w:val="30"/>
          <w:szCs w:val="30"/>
          <w:color w:val="005C91"/>
        </w:rPr>
        <w:t>e</w:t>
      </w:r>
      <w:r>
        <w:rPr>
          <w:rFonts w:ascii="Arial" w:cs="Arial" w:eastAsia="Arial" w:hAnsi="Arial"/>
          <w:sz w:val="30"/>
          <w:szCs w:val="30"/>
          <w:color w:val="002463"/>
        </w:rPr>
        <w:t xml:space="preserve"> </w:t>
      </w:r>
      <w:r>
        <w:rPr>
          <w:rFonts w:ascii="Arial" w:cs="Arial" w:eastAsia="Arial" w:hAnsi="Arial"/>
          <w:sz w:val="30"/>
          <w:szCs w:val="30"/>
          <w:color w:val="006498"/>
        </w:rPr>
        <w:t>h</w:t>
      </w:r>
      <w:r>
        <w:rPr>
          <w:rFonts w:ascii="Arial" w:cs="Arial" w:eastAsia="Arial" w:hAnsi="Arial"/>
          <w:sz w:val="30"/>
          <w:szCs w:val="30"/>
          <w:color w:val="006699"/>
        </w:rPr>
        <w:t>a</w:t>
      </w:r>
      <w:r>
        <w:rPr>
          <w:rFonts w:ascii="Arial" w:cs="Arial" w:eastAsia="Arial" w:hAnsi="Arial"/>
          <w:sz w:val="30"/>
          <w:szCs w:val="30"/>
          <w:color w:val="002463"/>
        </w:rPr>
        <w:t xml:space="preserve"> </w:t>
      </w:r>
      <w:r>
        <w:rPr>
          <w:rFonts w:ascii="Arial" w:cs="Arial" w:eastAsia="Arial" w:hAnsi="Arial"/>
          <w:sz w:val="30"/>
          <w:szCs w:val="30"/>
          <w:color w:val="006C9F"/>
        </w:rPr>
        <w:t>k</w:t>
      </w:r>
      <w:r>
        <w:rPr>
          <w:rFonts w:ascii="Arial" w:cs="Arial" w:eastAsia="Arial" w:hAnsi="Arial"/>
          <w:sz w:val="30"/>
          <w:szCs w:val="30"/>
          <w:color w:val="002463"/>
        </w:rPr>
        <w:t xml:space="preserve"> </w:t>
      </w:r>
      <w:r>
        <w:rPr>
          <w:rFonts w:ascii="Arial" w:cs="Arial" w:eastAsia="Arial" w:hAnsi="Arial"/>
          <w:sz w:val="30"/>
          <w:szCs w:val="30"/>
          <w:color w:val="0072A4"/>
        </w:rPr>
        <w:t>o</w:t>
      </w:r>
      <w:r>
        <w:rPr>
          <w:rFonts w:ascii="Arial" w:cs="Arial" w:eastAsia="Arial" w:hAnsi="Arial"/>
          <w:sz w:val="30"/>
          <w:szCs w:val="30"/>
          <w:color w:val="0075A7"/>
        </w:rPr>
        <w:t>u</w:t>
      </w:r>
      <w:r>
        <w:rPr>
          <w:rFonts w:ascii="Arial" w:cs="Arial" w:eastAsia="Arial" w:hAnsi="Arial"/>
          <w:sz w:val="30"/>
          <w:szCs w:val="30"/>
          <w:color w:val="002463"/>
        </w:rPr>
        <w:t xml:space="preserve"> </w:t>
      </w:r>
      <w:r>
        <w:rPr>
          <w:rFonts w:ascii="Arial" w:cs="Arial" w:eastAsia="Arial" w:hAnsi="Arial"/>
          <w:sz w:val="30"/>
          <w:szCs w:val="30"/>
          <w:color w:val="007BAC"/>
        </w:rPr>
        <w:t>f</w:t>
      </w:r>
      <w:r>
        <w:rPr>
          <w:rFonts w:ascii="Arial" w:cs="Arial" w:eastAsia="Arial" w:hAnsi="Arial"/>
          <w:sz w:val="30"/>
          <w:szCs w:val="30"/>
          <w:color w:val="007CAD"/>
        </w:rPr>
        <w:t>o</w:t>
      </w:r>
      <w:r>
        <w:rPr>
          <w:rFonts w:ascii="Arial" w:cs="Arial" w:eastAsia="Arial" w:hAnsi="Arial"/>
          <w:sz w:val="30"/>
          <w:szCs w:val="30"/>
          <w:color w:val="002463"/>
        </w:rPr>
        <w:t xml:space="preserve"> </w:t>
      </w:r>
      <w:r>
        <w:rPr>
          <w:rFonts w:ascii="Arial" w:cs="Arial" w:eastAsia="Arial" w:hAnsi="Arial"/>
          <w:sz w:val="30"/>
          <w:szCs w:val="30"/>
          <w:color w:val="0087B6"/>
        </w:rPr>
        <w:t>o</w:t>
      </w:r>
      <w:r>
        <w:rPr>
          <w:rFonts w:ascii="Arial" w:cs="Arial" w:eastAsia="Arial" w:hAnsi="Arial"/>
          <w:sz w:val="30"/>
          <w:szCs w:val="30"/>
          <w:color w:val="002463"/>
        </w:rPr>
        <w:t xml:space="preserve"> </w:t>
      </w:r>
      <w:r>
        <w:rPr>
          <w:rFonts w:ascii="Arial" w:cs="Arial" w:eastAsia="Arial" w:hAnsi="Arial"/>
          <w:sz w:val="30"/>
          <w:szCs w:val="30"/>
          <w:color w:val="0094C2"/>
        </w:rPr>
        <w:t>o</w:t>
      </w:r>
      <w:r>
        <w:rPr>
          <w:rFonts w:ascii="Arial" w:cs="Arial" w:eastAsia="Arial" w:hAnsi="Arial"/>
          <w:sz w:val="30"/>
          <w:szCs w:val="30"/>
          <w:color w:val="002463"/>
        </w:rPr>
        <w:t xml:space="preserve"> </w:t>
      </w:r>
      <w:r>
        <w:rPr>
          <w:rFonts w:ascii="Arial" w:cs="Arial" w:eastAsia="Arial" w:hAnsi="Arial"/>
          <w:sz w:val="30"/>
          <w:szCs w:val="30"/>
          <w:color w:val="009BC8"/>
        </w:rPr>
        <w:t>t</w:t>
      </w:r>
      <w:r>
        <w:rPr>
          <w:rFonts w:ascii="Arial" w:cs="Arial" w:eastAsia="Arial" w:hAnsi="Arial"/>
          <w:sz w:val="30"/>
          <w:szCs w:val="30"/>
          <w:color w:val="009ECA"/>
        </w:rPr>
        <w:t>i</w:t>
      </w:r>
      <w:r>
        <w:rPr>
          <w:rFonts w:ascii="Arial" w:cs="Arial" w:eastAsia="Arial" w:hAnsi="Arial"/>
          <w:sz w:val="30"/>
          <w:szCs w:val="30"/>
          <w:color w:val="00A0CB"/>
        </w:rPr>
        <w:t>n</w:t>
      </w:r>
      <w:r>
        <w:rPr>
          <w:rFonts w:ascii="Arial" w:cs="Arial" w:eastAsia="Arial" w:hAnsi="Arial"/>
          <w:sz w:val="30"/>
          <w:szCs w:val="30"/>
          <w:color w:val="002463"/>
        </w:rPr>
        <w:t xml:space="preserve"> </w:t>
      </w:r>
      <w:r>
        <w:rPr>
          <w:rFonts w:ascii="Arial" w:cs="Arial" w:eastAsia="Arial" w:hAnsi="Arial"/>
          <w:sz w:val="30"/>
          <w:szCs w:val="30"/>
          <w:color w:val="00A7D1"/>
        </w:rPr>
        <w:t>e</w:t>
      </w:r>
      <w:r>
        <w:rPr>
          <w:rFonts w:ascii="Arial" w:cs="Arial" w:eastAsia="Arial" w:hAnsi="Arial"/>
          <w:sz w:val="30"/>
          <w:szCs w:val="30"/>
          <w:color w:val="00ADD6"/>
        </w:rPr>
        <w:t>d</w:t>
      </w:r>
      <w:r>
        <w:rPr>
          <w:rFonts w:ascii="Arial" w:cs="Arial" w:eastAsia="Arial" w:hAnsi="Arial"/>
          <w:sz w:val="30"/>
          <w:szCs w:val="30"/>
          <w:color w:val="002463"/>
        </w:rPr>
        <w:t xml:space="preserve"> support </w:t>
      </w:r>
      <w:r>
        <w:rPr>
          <w:rFonts w:ascii="Arial" w:cs="Arial" w:eastAsia="Arial" w:hAnsi="Arial"/>
          <w:sz w:val="30"/>
          <w:szCs w:val="30"/>
          <w:color w:val="002B68"/>
        </w:rPr>
        <w:t>d</w:t>
      </w:r>
      <w:r>
        <w:rPr>
          <w:rFonts w:ascii="Arial" w:cs="Arial" w:eastAsia="Arial" w:hAnsi="Arial"/>
          <w:sz w:val="30"/>
          <w:szCs w:val="30"/>
          <w:color w:val="002463"/>
        </w:rPr>
        <w:t xml:space="preserve"> </w:t>
      </w:r>
      <w:r>
        <w:rPr>
          <w:rFonts w:ascii="Arial" w:cs="Arial" w:eastAsia="Arial" w:hAnsi="Arial"/>
          <w:sz w:val="30"/>
          <w:szCs w:val="30"/>
          <w:color w:val="002E6A"/>
        </w:rPr>
        <w:t>a</w:t>
      </w:r>
      <w:r>
        <w:rPr>
          <w:rFonts w:ascii="Arial" w:cs="Arial" w:eastAsia="Arial" w:hAnsi="Arial"/>
          <w:sz w:val="30"/>
          <w:szCs w:val="30"/>
          <w:color w:val="002463"/>
        </w:rPr>
        <w:t xml:space="preserve"> </w:t>
      </w:r>
      <w:r>
        <w:rPr>
          <w:rFonts w:ascii="Arial" w:cs="Arial" w:eastAsia="Arial" w:hAnsi="Arial"/>
          <w:sz w:val="30"/>
          <w:szCs w:val="30"/>
          <w:color w:val="00326D"/>
        </w:rPr>
        <w:t>e</w:t>
      </w:r>
      <w:r>
        <w:rPr>
          <w:rFonts w:ascii="Arial" w:cs="Arial" w:eastAsia="Arial" w:hAnsi="Arial"/>
          <w:sz w:val="30"/>
          <w:szCs w:val="30"/>
          <w:color w:val="002463"/>
        </w:rPr>
        <w:t xml:space="preserve"> </w:t>
      </w:r>
      <w:r>
        <w:rPr>
          <w:rFonts w:ascii="Arial" w:cs="Arial" w:eastAsia="Arial" w:hAnsi="Arial"/>
          <w:sz w:val="30"/>
          <w:szCs w:val="30"/>
          <w:color w:val="003D77"/>
        </w:rPr>
        <w:t>t</w:t>
      </w:r>
      <w:r>
        <w:rPr>
          <w:rFonts w:ascii="Arial" w:cs="Arial" w:eastAsia="Arial" w:hAnsi="Arial"/>
          <w:sz w:val="30"/>
          <w:szCs w:val="30"/>
          <w:color w:val="002463"/>
        </w:rPr>
        <w:t xml:space="preserve"> </w:t>
      </w:r>
      <w:r>
        <w:rPr>
          <w:rFonts w:ascii="Arial" w:cs="Arial" w:eastAsia="Arial" w:hAnsi="Arial"/>
          <w:sz w:val="30"/>
          <w:szCs w:val="30"/>
          <w:color w:val="00427A"/>
        </w:rPr>
        <w:t>f</w:t>
      </w:r>
      <w:r>
        <w:rPr>
          <w:rFonts w:ascii="Arial" w:cs="Arial" w:eastAsia="Arial" w:hAnsi="Arial"/>
          <w:sz w:val="30"/>
          <w:szCs w:val="30"/>
          <w:color w:val="002463"/>
        </w:rPr>
        <w:t xml:space="preserve"> </w:t>
      </w:r>
      <w:r>
        <w:rPr>
          <w:rFonts w:ascii="Arial" w:cs="Arial" w:eastAsia="Arial" w:hAnsi="Arial"/>
          <w:sz w:val="30"/>
          <w:szCs w:val="30"/>
          <w:color w:val="00477E"/>
        </w:rPr>
        <w:t>l</w:t>
      </w:r>
      <w:r>
        <w:rPr>
          <w:rFonts w:ascii="Arial" w:cs="Arial" w:eastAsia="Arial" w:hAnsi="Arial"/>
          <w:sz w:val="30"/>
          <w:szCs w:val="30"/>
          <w:color w:val="002463"/>
        </w:rPr>
        <w:t xml:space="preserve"> </w:t>
      </w:r>
      <w:r>
        <w:rPr>
          <w:rFonts w:ascii="Arial" w:cs="Arial" w:eastAsia="Arial" w:hAnsi="Arial"/>
          <w:sz w:val="30"/>
          <w:szCs w:val="30"/>
          <w:color w:val="004980"/>
        </w:rPr>
        <w:t>t</w:t>
      </w:r>
      <w:r>
        <w:rPr>
          <w:rFonts w:ascii="Arial" w:cs="Arial" w:eastAsia="Arial" w:hAnsi="Arial"/>
          <w:sz w:val="30"/>
          <w:szCs w:val="30"/>
          <w:color w:val="004A81"/>
        </w:rPr>
        <w:t>o</w:t>
      </w:r>
      <w:r>
        <w:rPr>
          <w:rFonts w:ascii="Arial" w:cs="Arial" w:eastAsia="Arial" w:hAnsi="Arial"/>
          <w:sz w:val="30"/>
          <w:szCs w:val="30"/>
          <w:color w:val="002463"/>
        </w:rPr>
        <w:t xml:space="preserve"> </w:t>
      </w:r>
      <w:r>
        <w:rPr>
          <w:rFonts w:ascii="Arial" w:cs="Arial" w:eastAsia="Arial" w:hAnsi="Arial"/>
          <w:sz w:val="30"/>
          <w:szCs w:val="30"/>
          <w:color w:val="004F85"/>
        </w:rPr>
        <w:t>b</w:t>
      </w:r>
      <w:r>
        <w:rPr>
          <w:rFonts w:ascii="Arial" w:cs="Arial" w:eastAsia="Arial" w:hAnsi="Arial"/>
          <w:sz w:val="30"/>
          <w:szCs w:val="30"/>
          <w:color w:val="002463"/>
        </w:rPr>
        <w:t xml:space="preserve"> </w:t>
      </w:r>
      <w:r>
        <w:rPr>
          <w:rFonts w:ascii="Arial" w:cs="Arial" w:eastAsia="Arial" w:hAnsi="Arial"/>
          <w:sz w:val="30"/>
          <w:szCs w:val="30"/>
          <w:color w:val="005187"/>
        </w:rPr>
        <w:t>e</w:t>
      </w:r>
      <w:r>
        <w:rPr>
          <w:rFonts w:ascii="Arial" w:cs="Arial" w:eastAsia="Arial" w:hAnsi="Arial"/>
          <w:sz w:val="30"/>
          <w:szCs w:val="30"/>
          <w:color w:val="002463"/>
        </w:rPr>
        <w:t xml:space="preserve"> </w:t>
      </w:r>
      <w:r>
        <w:rPr>
          <w:rFonts w:ascii="Arial" w:cs="Arial" w:eastAsia="Arial" w:hAnsi="Arial"/>
          <w:sz w:val="30"/>
          <w:szCs w:val="30"/>
          <w:color w:val="005A8F"/>
        </w:rPr>
        <w:t>a</w:t>
      </w:r>
      <w:r>
        <w:rPr>
          <w:rFonts w:ascii="Arial" w:cs="Arial" w:eastAsia="Arial" w:hAnsi="Arial"/>
          <w:sz w:val="30"/>
          <w:szCs w:val="30"/>
          <w:color w:val="005D92"/>
        </w:rPr>
        <w:t>r</w:t>
      </w:r>
      <w:r>
        <w:rPr>
          <w:rFonts w:ascii="Arial" w:cs="Arial" w:eastAsia="Arial" w:hAnsi="Arial"/>
          <w:sz w:val="30"/>
          <w:szCs w:val="30"/>
          <w:color w:val="005F93"/>
        </w:rPr>
        <w:t>i</w:t>
      </w:r>
      <w:r>
        <w:rPr>
          <w:rFonts w:ascii="Arial" w:cs="Arial" w:eastAsia="Arial" w:hAnsi="Arial"/>
          <w:sz w:val="30"/>
          <w:szCs w:val="30"/>
          <w:color w:val="002463"/>
        </w:rPr>
        <w:t xml:space="preserve"> </w:t>
      </w:r>
      <w:r>
        <w:rPr>
          <w:rFonts w:ascii="Arial" w:cs="Arial" w:eastAsia="Arial" w:hAnsi="Arial"/>
          <w:sz w:val="30"/>
          <w:szCs w:val="30"/>
          <w:color w:val="006397"/>
        </w:rPr>
        <w:t>g</w:t>
      </w:r>
      <w:r>
        <w:rPr>
          <w:rFonts w:ascii="Arial" w:cs="Arial" w:eastAsia="Arial" w:hAnsi="Arial"/>
          <w:sz w:val="30"/>
          <w:szCs w:val="30"/>
          <w:color w:val="002463"/>
        </w:rPr>
        <w:t xml:space="preserve"> </w:t>
      </w:r>
      <w:r>
        <w:rPr>
          <w:rFonts w:ascii="Arial" w:cs="Arial" w:eastAsia="Arial" w:hAnsi="Arial"/>
          <w:sz w:val="30"/>
          <w:szCs w:val="30"/>
          <w:color w:val="00689B"/>
        </w:rPr>
        <w:t>t</w:t>
      </w:r>
      <w:r>
        <w:rPr>
          <w:rFonts w:ascii="Arial" w:cs="Arial" w:eastAsia="Arial" w:hAnsi="Arial"/>
          <w:sz w:val="30"/>
          <w:szCs w:val="30"/>
          <w:color w:val="00699D"/>
        </w:rPr>
        <w:t>h</w:t>
      </w:r>
      <w:r>
        <w:rPr>
          <w:rFonts w:ascii="Arial" w:cs="Arial" w:eastAsia="Arial" w:hAnsi="Arial"/>
          <w:sz w:val="30"/>
          <w:szCs w:val="30"/>
          <w:color w:val="006D9F"/>
        </w:rPr>
        <w:t>i</w:t>
      </w:r>
      <w:r>
        <w:rPr>
          <w:rFonts w:ascii="Arial" w:cs="Arial" w:eastAsia="Arial" w:hAnsi="Arial"/>
          <w:sz w:val="30"/>
          <w:szCs w:val="30"/>
          <w:color w:val="002463"/>
        </w:rPr>
        <w:t xml:space="preserve"> </w:t>
      </w:r>
      <w:r>
        <w:rPr>
          <w:rFonts w:ascii="Arial" w:cs="Arial" w:eastAsia="Arial" w:hAnsi="Arial"/>
          <w:sz w:val="30"/>
          <w:szCs w:val="30"/>
          <w:color w:val="0073A5"/>
        </w:rPr>
        <w:t>jo</w:t>
      </w:r>
      <w:r>
        <w:rPr>
          <w:rFonts w:ascii="Arial" w:cs="Arial" w:eastAsia="Arial" w:hAnsi="Arial"/>
          <w:sz w:val="30"/>
          <w:szCs w:val="30"/>
          <w:color w:val="0077A8"/>
        </w:rPr>
        <w:t>u</w:t>
      </w:r>
      <w:r>
        <w:rPr>
          <w:rFonts w:ascii="Arial" w:cs="Arial" w:eastAsia="Arial" w:hAnsi="Arial"/>
          <w:sz w:val="30"/>
          <w:szCs w:val="30"/>
          <w:color w:val="002463"/>
        </w:rPr>
        <w:t xml:space="preserve"> </w:t>
      </w:r>
      <w:r>
        <w:rPr>
          <w:rFonts w:ascii="Arial" w:cs="Arial" w:eastAsia="Arial" w:hAnsi="Arial"/>
          <w:sz w:val="30"/>
          <w:szCs w:val="30"/>
          <w:color w:val="007CAD"/>
        </w:rPr>
        <w:t>n</w:t>
      </w:r>
      <w:r>
        <w:rPr>
          <w:rFonts w:ascii="Arial" w:cs="Arial" w:eastAsia="Arial" w:hAnsi="Arial"/>
          <w:sz w:val="30"/>
          <w:szCs w:val="30"/>
          <w:color w:val="002463"/>
        </w:rPr>
        <w:t xml:space="preserve"> </w:t>
      </w:r>
      <w:r>
        <w:rPr>
          <w:rFonts w:ascii="Arial" w:cs="Arial" w:eastAsia="Arial" w:hAnsi="Arial"/>
          <w:sz w:val="30"/>
          <w:szCs w:val="30"/>
          <w:color w:val="008CBB"/>
        </w:rPr>
        <w:t>i</w:t>
      </w:r>
      <w:r>
        <w:rPr>
          <w:rFonts w:ascii="Arial" w:cs="Arial" w:eastAsia="Arial" w:hAnsi="Arial"/>
          <w:sz w:val="30"/>
          <w:szCs w:val="30"/>
          <w:color w:val="002463"/>
        </w:rPr>
        <w:t xml:space="preserve"> </w:t>
      </w:r>
      <w:r>
        <w:rPr>
          <w:rFonts w:ascii="Arial" w:cs="Arial" w:eastAsia="Arial" w:hAnsi="Arial"/>
          <w:sz w:val="30"/>
          <w:szCs w:val="30"/>
          <w:color w:val="0090BE"/>
        </w:rPr>
        <w:t>h</w:t>
      </w:r>
      <w:r>
        <w:rPr>
          <w:rFonts w:ascii="Arial" w:cs="Arial" w:eastAsia="Arial" w:hAnsi="Arial"/>
          <w:sz w:val="30"/>
          <w:szCs w:val="30"/>
          <w:color w:val="002463"/>
        </w:rPr>
        <w:t xml:space="preserve"> </w:t>
      </w:r>
      <w:r>
        <w:rPr>
          <w:rFonts w:ascii="Arial" w:cs="Arial" w:eastAsia="Arial" w:hAnsi="Arial"/>
          <w:sz w:val="30"/>
          <w:szCs w:val="30"/>
          <w:color w:val="0094C2"/>
        </w:rPr>
        <w:t>y</w:t>
      </w:r>
      <w:r>
        <w:rPr>
          <w:rFonts w:ascii="Arial" w:cs="Arial" w:eastAsia="Arial" w:hAnsi="Arial"/>
          <w:sz w:val="30"/>
          <w:szCs w:val="30"/>
          <w:color w:val="002463"/>
        </w:rPr>
        <w:t xml:space="preserve"> </w:t>
      </w:r>
      <w:r>
        <w:rPr>
          <w:rFonts w:ascii="Arial" w:cs="Arial" w:eastAsia="Arial" w:hAnsi="Arial"/>
          <w:sz w:val="30"/>
          <w:szCs w:val="30"/>
          <w:color w:val="009CC8"/>
        </w:rPr>
        <w:t>u</w:t>
      </w:r>
      <w:r>
        <w:rPr>
          <w:rFonts w:ascii="Arial" w:cs="Arial" w:eastAsia="Arial" w:hAnsi="Arial"/>
          <w:sz w:val="30"/>
          <w:szCs w:val="30"/>
          <w:color w:val="00A0CB"/>
        </w:rPr>
        <w: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211E1F"/>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-88900</wp:posOffset>
            </wp:positionV>
            <wp:extent cx="6843395" cy="2289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339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0BDE4"/>
        </w:rPr>
        <w:t>PAUL B. BOLNO, MD, MBA</w:t>
      </w:r>
    </w:p>
    <w:p>
      <w:pPr>
        <w:sectPr>
          <w:pgSz w:w="11880" w:h="15480" w:orient="portrait"/>
          <w:cols w:equalWidth="0" w:num="1">
            <w:col w:w="9280"/>
          </w:cols>
          <w:pgMar w:left="1260" w:top="1220" w:right="134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002463"/>
        </w:rPr>
        <w:t>President and Chief Executive O</w:t>
      </w:r>
      <w:r>
        <w:rPr>
          <w:rFonts w:ascii="Arial" w:cs="Arial" w:eastAsia="Arial" w:hAnsi="Arial"/>
          <w:sz w:val="18"/>
          <w:szCs w:val="18"/>
          <w:color w:val="002463"/>
        </w:rPr>
        <w:t>ﬃ</w:t>
      </w:r>
      <w:r>
        <w:rPr>
          <w:rFonts w:ascii="Arial" w:cs="Arial" w:eastAsia="Arial" w:hAnsi="Arial"/>
          <w:sz w:val="18"/>
          <w:szCs w:val="18"/>
          <w:color w:val="002463"/>
        </w:rPr>
        <w: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920115</wp:posOffset>
            </wp:positionV>
            <wp:extent cx="1985645" cy="855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5645" cy="855980"/>
                    </a:xfrm>
                    <a:prstGeom prst="rect">
                      <a:avLst/>
                    </a:prstGeom>
                    <a:noFill/>
                  </pic:spPr>
                </pic:pic>
              </a:graphicData>
            </a:graphic>
          </wp:anchor>
        </w:drawing>
        <w:drawing>
          <wp:anchor simplePos="0" relativeHeight="251657728" behindDoc="1" locked="0" layoutInCell="0" allowOverlap="1">
            <wp:simplePos x="0" y="0"/>
            <wp:positionH relativeFrom="column">
              <wp:posOffset>-799465</wp:posOffset>
            </wp:positionH>
            <wp:positionV relativeFrom="paragraph">
              <wp:posOffset>920115</wp:posOffset>
            </wp:positionV>
            <wp:extent cx="1985645" cy="855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5645" cy="855980"/>
                    </a:xfrm>
                    <a:prstGeom prst="rect">
                      <a:avLst/>
                    </a:prstGeom>
                    <a:noFill/>
                  </pic:spPr>
                </pic:pic>
              </a:graphicData>
            </a:graphic>
          </wp:anchor>
        </w:drawing>
      </w:r>
    </w:p>
    <w:p>
      <w:pPr>
        <w:sectPr>
          <w:pgSz w:w="11880" w:h="15480" w:orient="portrait"/>
          <w:cols w:equalWidth="0" w:num="1">
            <w:col w:w="9280"/>
          </w:cols>
          <w:pgMar w:left="1260" w:top="1220" w:right="1340"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7"/>
          <w:szCs w:val="27"/>
          <w:b w:val="1"/>
          <w:bCs w:val="1"/>
          <w:color w:val="231F20"/>
        </w:rPr>
        <mc:AlternateContent>
          <mc:Choice Requires="wps">
            <w:drawing>
              <wp:anchor simplePos="0" relativeHeight="251657728" behindDoc="1" locked="0" layoutInCell="0" allowOverlap="1">
                <wp:simplePos x="0" y="0"/>
                <wp:positionH relativeFrom="page">
                  <wp:posOffset>426085</wp:posOffset>
                </wp:positionH>
                <wp:positionV relativeFrom="page">
                  <wp:posOffset>563880</wp:posOffset>
                </wp:positionV>
                <wp:extent cx="668782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7820" cy="4763"/>
                        </a:xfrm>
                        <a:prstGeom prst="line">
                          <a:avLst/>
                        </a:prstGeom>
                        <a:solidFill>
                          <a:srgbClr val="FFFFFF"/>
                        </a:solidFill>
                        <a:ln w="5912">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55pt,44.4pt" to="560.15pt,44.4pt" o:allowincell="f" strokecolor="#231F20" strokeweight="0.4655pt">
                <w10:wrap anchorx="page" anchory="page"/>
              </v:line>
            </w:pict>
          </mc:Fallback>
        </mc:AlternateContent>
        <mc:AlternateContent>
          <mc:Choice Requires="wps">
            <w:drawing>
              <wp:anchor simplePos="0" relativeHeight="251657728" behindDoc="1" locked="0" layoutInCell="0" allowOverlap="1">
                <wp:simplePos x="0" y="0"/>
                <wp:positionH relativeFrom="page">
                  <wp:posOffset>426085</wp:posOffset>
                </wp:positionH>
                <wp:positionV relativeFrom="page">
                  <wp:posOffset>552450</wp:posOffset>
                </wp:positionV>
                <wp:extent cx="668782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7820" cy="4763"/>
                        </a:xfrm>
                        <a:prstGeom prst="line">
                          <a:avLst/>
                        </a:prstGeom>
                        <a:solidFill>
                          <a:srgbClr val="FFFFFF"/>
                        </a:solidFill>
                        <a:ln w="5925">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55pt,43.5pt" to="560.15pt,43.5pt" o:allowincell="f" strokecolor="#231F20" strokeweight="0.4665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2199640</wp:posOffset>
                </wp:positionH>
                <wp:positionV relativeFrom="paragraph">
                  <wp:posOffset>67310</wp:posOffset>
                </wp:positionV>
                <wp:extent cx="225234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2345" cy="4763"/>
                        </a:xfrm>
                        <a:prstGeom prst="line">
                          <a:avLst/>
                        </a:prstGeom>
                        <a:solidFill>
                          <a:srgbClr val="FFFFFF"/>
                        </a:solidFill>
                        <a:ln w="5926">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2pt,5.3pt" to="350.55pt,5.3pt" o:allowincell="f" strokecolor="#231F20" strokeweight="0.4666pt"/>
            </w:pict>
          </mc:Fallback>
        </mc:AlternateConten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2199640</wp:posOffset>
                </wp:positionH>
                <wp:positionV relativeFrom="paragraph">
                  <wp:posOffset>62865</wp:posOffset>
                </wp:positionV>
                <wp:extent cx="225234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2345" cy="4763"/>
                        </a:xfrm>
                        <a:prstGeom prst="line">
                          <a:avLst/>
                        </a:prstGeom>
                        <a:solidFill>
                          <a:srgbClr val="FFFFFF"/>
                        </a:solidFill>
                        <a:ln w="5905">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2pt,4.95pt" to="350.55pt,4.95pt" o:allowincell="f" strokecolor="#231F20" strokeweight="0.465pt"/>
            </w:pict>
          </mc:Fallback>
        </mc:AlternateConten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(Mark One)</w:t>
      </w:r>
    </w:p>
    <w:p>
      <w:pPr>
        <w:spacing w:after="0" w:line="70" w:lineRule="exact"/>
        <w:rPr>
          <w:sz w:val="20"/>
          <w:szCs w:val="20"/>
          <w:color w:val="auto"/>
        </w:rPr>
      </w:pPr>
    </w:p>
    <w:p>
      <w:pPr>
        <w:ind w:left="520" w:hanging="520"/>
        <w:spacing w:after="0"/>
        <w:tabs>
          <w:tab w:leader="none" w:pos="520" w:val="left"/>
        </w:tabs>
        <w:numPr>
          <w:ilvl w:val="0"/>
          <w:numId w:val="1"/>
        </w:numPr>
        <w:rPr>
          <w:rFonts w:ascii="Segoe UI" w:cs="Segoe UI" w:eastAsia="Segoe UI" w:hAnsi="Segoe UI"/>
          <w:sz w:val="17"/>
          <w:szCs w:val="17"/>
          <w:color w:val="231F20"/>
        </w:rPr>
      </w:pPr>
      <w:r>
        <w:rPr>
          <w:rFonts w:ascii="Times New Roman" w:cs="Times New Roman" w:eastAsia="Times New Roman" w:hAnsi="Times New Roman"/>
          <w:sz w:val="17"/>
          <w:szCs w:val="17"/>
          <w:b w:val="1"/>
          <w:bCs w:val="1"/>
          <w:color w:val="231F20"/>
        </w:rPr>
        <w:t>ANNUAL REPORT PURSUANT TO SECTION 13 OR 15(d) OF THE SECURITIES EXCHANGE ACT OF 1934</w:t>
      </w:r>
    </w:p>
    <w:p>
      <w:pPr>
        <w:spacing w:after="0" w:line="333" w:lineRule="exact"/>
        <w:rPr>
          <w:sz w:val="20"/>
          <w:szCs w:val="20"/>
          <w:color w:val="auto"/>
        </w:rPr>
      </w:pPr>
    </w:p>
    <w:p>
      <w:pPr>
        <w:ind w:left="520" w:hanging="520"/>
        <w:spacing w:after="0"/>
        <w:tabs>
          <w:tab w:leader="none" w:pos="520" w:val="left"/>
        </w:tabs>
        <w:numPr>
          <w:ilvl w:val="0"/>
          <w:numId w:val="2"/>
        </w:numPr>
        <w:rPr>
          <w:rFonts w:ascii="Segoe UI" w:cs="Segoe UI" w:eastAsia="Segoe UI" w:hAnsi="Segoe UI"/>
          <w:sz w:val="17"/>
          <w:szCs w:val="17"/>
          <w:color w:val="231F20"/>
        </w:rPr>
      </w:pPr>
      <w:r>
        <w:rPr>
          <w:rFonts w:ascii="Times New Roman" w:cs="Times New Roman" w:eastAsia="Times New Roman" w:hAnsi="Times New Roman"/>
          <w:sz w:val="17"/>
          <w:szCs w:val="17"/>
          <w:b w:val="1"/>
          <w:bCs w:val="1"/>
          <w:color w:val="231F20"/>
        </w:rPr>
        <w:t>TRANSITION REPORT PURSUANT TO SECTION 13 OR 15(d) OF THE SECURITIES EXCHANGE ACT OF 1934</w:t>
      </w:r>
    </w:p>
    <w:p>
      <w:pPr>
        <w:spacing w:after="0" w:line="72" w:lineRule="exact"/>
        <w:rPr>
          <w:sz w:val="20"/>
          <w:szCs w:val="20"/>
          <w:color w:val="auto"/>
        </w:rPr>
      </w:pPr>
    </w:p>
    <w:tbl>
      <w:tblPr>
        <w:tblLayout w:type="fixed"/>
        <w:tblInd w:w="3720" w:type="dxa"/>
        <w:tblCellMar>
          <w:top w:w="0" w:type="dxa"/>
          <w:left w:w="0" w:type="dxa"/>
          <w:bottom w:w="0" w:type="dxa"/>
          <w:right w:w="0" w:type="dxa"/>
        </w:tblCellMar>
      </w:tblPr>
      <w:tr>
        <w:trPr>
          <w:trHeight w:val="195"/>
        </w:trPr>
        <w:tc>
          <w:tcPr>
            <w:tcW w:w="23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For the transition period from</w:t>
            </w:r>
          </w:p>
        </w:tc>
        <w:tc>
          <w:tcPr>
            <w:tcW w:w="520" w:type="dxa"/>
            <w:vAlign w:val="bottom"/>
            <w:tcBorders>
              <w:bottom w:val="single" w:sz="8" w:color="231F20"/>
            </w:tcBorders>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231F20"/>
                <w:w w:val="84"/>
              </w:rPr>
              <w:t>to</w:t>
            </w:r>
          </w:p>
        </w:tc>
      </w:tr>
      <w:tr>
        <w:trPr>
          <w:trHeight w:val="276"/>
        </w:trPr>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231F20"/>
              </w:rPr>
              <w:t>Commission File No. 001-37627</w:t>
            </w:r>
          </w:p>
        </w:tc>
        <w:tc>
          <w:tcPr>
            <w:tcW w:w="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2199640</wp:posOffset>
                </wp:positionH>
                <wp:positionV relativeFrom="paragraph">
                  <wp:posOffset>57150</wp:posOffset>
                </wp:positionV>
                <wp:extent cx="225234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2345" cy="4763"/>
                        </a:xfrm>
                        <a:prstGeom prst="line">
                          <a:avLst/>
                        </a:prstGeom>
                        <a:solidFill>
                          <a:srgbClr val="FFFFFF"/>
                        </a:solidFill>
                        <a:ln w="5931">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2pt,4.5pt" to="350.55pt,4.5pt" o:allowincell="f" strokecolor="#231F20" strokeweight="0.467pt"/>
            </w:pict>
          </mc:Fallback>
        </mc:AlternateConten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231F20"/>
        </w:rPr>
        <w:t>WAVE LIFE SCIENCES LTD.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2199640</wp:posOffset>
                </wp:positionH>
                <wp:positionV relativeFrom="paragraph">
                  <wp:posOffset>83820</wp:posOffset>
                </wp:positionV>
                <wp:extent cx="225234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2345" cy="4763"/>
                        </a:xfrm>
                        <a:prstGeom prst="line">
                          <a:avLst/>
                        </a:prstGeom>
                        <a:solidFill>
                          <a:srgbClr val="FFFFFF"/>
                        </a:solidFill>
                        <a:ln w="5918">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2pt,6.6pt" to="350.55pt,6.6pt" o:allowincell="f" strokecolor="#231F20" strokeweight="0.466pt"/>
            </w:pict>
          </mc:Fallback>
        </mc:AlternateConten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5020" w:type="dxa"/>
            <w:vAlign w:val="bottom"/>
          </w:tcPr>
          <w:p>
            <w:pPr>
              <w:jc w:val="center"/>
              <w:ind w:right="936"/>
              <w:spacing w:after="0"/>
              <w:rPr>
                <w:sz w:val="20"/>
                <w:szCs w:val="20"/>
                <w:color w:val="auto"/>
              </w:rPr>
            </w:pPr>
            <w:r>
              <w:rPr>
                <w:rFonts w:ascii="Times New Roman" w:cs="Times New Roman" w:eastAsia="Times New Roman" w:hAnsi="Times New Roman"/>
                <w:sz w:val="17"/>
                <w:szCs w:val="17"/>
                <w:b w:val="1"/>
                <w:bCs w:val="1"/>
                <w:color w:val="231F20"/>
              </w:rPr>
              <w:t>Singapore</w:t>
            </w:r>
          </w:p>
        </w:tc>
        <w:tc>
          <w:tcPr>
            <w:tcW w:w="3400" w:type="dxa"/>
            <w:vAlign w:val="bottom"/>
          </w:tcPr>
          <w:p>
            <w:pPr>
              <w:jc w:val="right"/>
              <w:ind w:right="677"/>
              <w:spacing w:after="0"/>
              <w:rPr>
                <w:sz w:val="20"/>
                <w:szCs w:val="20"/>
                <w:color w:val="auto"/>
              </w:rPr>
            </w:pPr>
            <w:r>
              <w:rPr>
                <w:rFonts w:ascii="Times New Roman" w:cs="Times New Roman" w:eastAsia="Times New Roman" w:hAnsi="Times New Roman"/>
                <w:sz w:val="17"/>
                <w:szCs w:val="17"/>
                <w:b w:val="1"/>
                <w:bCs w:val="1"/>
                <w:color w:val="231F20"/>
              </w:rPr>
              <w:t>98-1356880</w:t>
            </w:r>
          </w:p>
        </w:tc>
      </w:tr>
      <w:tr>
        <w:trPr>
          <w:trHeight w:val="213"/>
        </w:trPr>
        <w:tc>
          <w:tcPr>
            <w:tcW w:w="5020" w:type="dxa"/>
            <w:vAlign w:val="bottom"/>
          </w:tcPr>
          <w:p>
            <w:pPr>
              <w:jc w:val="center"/>
              <w:ind w:right="936"/>
              <w:spacing w:after="0"/>
              <w:rPr>
                <w:sz w:val="20"/>
                <w:szCs w:val="20"/>
                <w:color w:val="auto"/>
              </w:rPr>
            </w:pPr>
            <w:r>
              <w:rPr>
                <w:rFonts w:ascii="Times New Roman" w:cs="Times New Roman" w:eastAsia="Times New Roman" w:hAnsi="Times New Roman"/>
                <w:sz w:val="16"/>
                <w:szCs w:val="16"/>
                <w:b w:val="1"/>
                <w:bCs w:val="1"/>
                <w:color w:val="231F20"/>
                <w:w w:val="96"/>
              </w:rPr>
              <w:t>(State or other jurisdiction of incorporation or organization)</w:t>
            </w:r>
          </w:p>
        </w:tc>
        <w:tc>
          <w:tcPr>
            <w:tcW w:w="3400" w:type="dxa"/>
            <w:vAlign w:val="bottom"/>
          </w:tcPr>
          <w:p>
            <w:pPr>
              <w:jc w:val="center"/>
              <w:ind w:left="937"/>
              <w:spacing w:after="0"/>
              <w:rPr>
                <w:sz w:val="20"/>
                <w:szCs w:val="20"/>
                <w:color w:val="auto"/>
              </w:rPr>
            </w:pPr>
            <w:r>
              <w:rPr>
                <w:rFonts w:ascii="Times New Roman" w:cs="Times New Roman" w:eastAsia="Times New Roman" w:hAnsi="Times New Roman"/>
                <w:sz w:val="16"/>
                <w:szCs w:val="16"/>
                <w:b w:val="1"/>
                <w:bCs w:val="1"/>
                <w:color w:val="231F20"/>
                <w:w w:val="97"/>
              </w:rPr>
              <w:t>(I.R.S. Employer Identification No.)</w:t>
            </w:r>
          </w:p>
        </w:tc>
      </w:tr>
      <w:tr>
        <w:trPr>
          <w:trHeight w:val="386"/>
        </w:trPr>
        <w:tc>
          <w:tcPr>
            <w:tcW w:w="5020" w:type="dxa"/>
            <w:vAlign w:val="bottom"/>
          </w:tcPr>
          <w:p>
            <w:pPr>
              <w:jc w:val="center"/>
              <w:ind w:right="936"/>
              <w:spacing w:after="0"/>
              <w:rPr>
                <w:sz w:val="20"/>
                <w:szCs w:val="20"/>
                <w:color w:val="auto"/>
              </w:rPr>
            </w:pPr>
            <w:r>
              <w:rPr>
                <w:rFonts w:ascii="Times New Roman" w:cs="Times New Roman" w:eastAsia="Times New Roman" w:hAnsi="Times New Roman"/>
                <w:sz w:val="17"/>
                <w:szCs w:val="17"/>
                <w:b w:val="1"/>
                <w:bCs w:val="1"/>
                <w:color w:val="231F20"/>
              </w:rPr>
              <w:t>7 Straits View #12-00, Marina One East Tower</w:t>
            </w:r>
          </w:p>
        </w:tc>
        <w:tc>
          <w:tcPr>
            <w:tcW w:w="3400" w:type="dxa"/>
            <w:vAlign w:val="bottom"/>
          </w:tcPr>
          <w:p>
            <w:pPr>
              <w:spacing w:after="0"/>
              <w:rPr>
                <w:sz w:val="24"/>
                <w:szCs w:val="24"/>
                <w:color w:val="auto"/>
              </w:rPr>
            </w:pPr>
          </w:p>
        </w:tc>
      </w:tr>
      <w:tr>
        <w:trPr>
          <w:trHeight w:val="205"/>
        </w:trPr>
        <w:tc>
          <w:tcPr>
            <w:tcW w:w="5020" w:type="dxa"/>
            <w:vAlign w:val="bottom"/>
          </w:tcPr>
          <w:p>
            <w:pPr>
              <w:jc w:val="center"/>
              <w:ind w:right="936"/>
              <w:spacing w:after="0"/>
              <w:rPr>
                <w:sz w:val="20"/>
                <w:szCs w:val="20"/>
                <w:color w:val="auto"/>
              </w:rPr>
            </w:pPr>
            <w:r>
              <w:rPr>
                <w:rFonts w:ascii="Times New Roman" w:cs="Times New Roman" w:eastAsia="Times New Roman" w:hAnsi="Times New Roman"/>
                <w:sz w:val="17"/>
                <w:szCs w:val="17"/>
                <w:b w:val="1"/>
                <w:bCs w:val="1"/>
                <w:color w:val="231F20"/>
              </w:rPr>
              <w:t>Singapore</w:t>
            </w:r>
          </w:p>
        </w:tc>
        <w:tc>
          <w:tcPr>
            <w:tcW w:w="3400" w:type="dxa"/>
            <w:vAlign w:val="bottom"/>
          </w:tcPr>
          <w:p>
            <w:pPr>
              <w:jc w:val="right"/>
              <w:ind w:right="837"/>
              <w:spacing w:after="0"/>
              <w:rPr>
                <w:sz w:val="20"/>
                <w:szCs w:val="20"/>
                <w:color w:val="auto"/>
              </w:rPr>
            </w:pPr>
            <w:r>
              <w:rPr>
                <w:rFonts w:ascii="Times New Roman" w:cs="Times New Roman" w:eastAsia="Times New Roman" w:hAnsi="Times New Roman"/>
                <w:sz w:val="17"/>
                <w:szCs w:val="17"/>
                <w:b w:val="1"/>
                <w:bCs w:val="1"/>
                <w:color w:val="231F20"/>
              </w:rPr>
              <w:t>018936</w:t>
            </w:r>
          </w:p>
        </w:tc>
      </w:tr>
      <w:tr>
        <w:trPr>
          <w:trHeight w:val="213"/>
        </w:trPr>
        <w:tc>
          <w:tcPr>
            <w:tcW w:w="5020" w:type="dxa"/>
            <w:vAlign w:val="bottom"/>
          </w:tcPr>
          <w:p>
            <w:pPr>
              <w:jc w:val="center"/>
              <w:ind w:right="936"/>
              <w:spacing w:after="0"/>
              <w:rPr>
                <w:sz w:val="20"/>
                <w:szCs w:val="20"/>
                <w:color w:val="auto"/>
              </w:rPr>
            </w:pPr>
            <w:r>
              <w:rPr>
                <w:rFonts w:ascii="Times New Roman" w:cs="Times New Roman" w:eastAsia="Times New Roman" w:hAnsi="Times New Roman"/>
                <w:sz w:val="16"/>
                <w:szCs w:val="16"/>
                <w:b w:val="1"/>
                <w:bCs w:val="1"/>
                <w:color w:val="231F20"/>
                <w:w w:val="96"/>
              </w:rPr>
              <w:t>(Address of principal executive offices)</w:t>
            </w:r>
          </w:p>
        </w:tc>
        <w:tc>
          <w:tcPr>
            <w:tcW w:w="3400" w:type="dxa"/>
            <w:vAlign w:val="bottom"/>
          </w:tcPr>
          <w:p>
            <w:pPr>
              <w:jc w:val="center"/>
              <w:ind w:left="957"/>
              <w:spacing w:after="0"/>
              <w:rPr>
                <w:sz w:val="20"/>
                <w:szCs w:val="20"/>
                <w:color w:val="auto"/>
              </w:rPr>
            </w:pPr>
            <w:r>
              <w:rPr>
                <w:rFonts w:ascii="Times New Roman" w:cs="Times New Roman" w:eastAsia="Times New Roman" w:hAnsi="Times New Roman"/>
                <w:sz w:val="16"/>
                <w:szCs w:val="16"/>
                <w:b w:val="1"/>
                <w:bCs w:val="1"/>
                <w:color w:val="231F20"/>
                <w:w w:val="97"/>
              </w:rPr>
              <w:t>(Zip code)</w:t>
            </w:r>
          </w:p>
        </w:tc>
      </w:tr>
    </w:tbl>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Registrant’s telephone number, including area code: +65 6236 3388</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Securities registered pursuant to Section 12(b) of the Act:</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2980" w:type="dxa"/>
            <w:vAlign w:val="bottom"/>
            <w:tcBorders>
              <w:top w:val="single" w:sz="8" w:color="231F20"/>
              <w:left w:val="single" w:sz="8" w:color="231F20"/>
              <w:bottom w:val="single" w:sz="8" w:color="231F20"/>
            </w:tcBorders>
          </w:tcPr>
          <w:p>
            <w:pPr>
              <w:jc w:val="center"/>
              <w:ind w:left="564"/>
              <w:spacing w:after="0" w:line="181" w:lineRule="exact"/>
              <w:rPr>
                <w:sz w:val="20"/>
                <w:szCs w:val="20"/>
                <w:color w:val="auto"/>
              </w:rPr>
            </w:pPr>
            <w:r>
              <w:rPr>
                <w:rFonts w:ascii="Times New Roman" w:cs="Times New Roman" w:eastAsia="Times New Roman" w:hAnsi="Times New Roman"/>
                <w:sz w:val="16"/>
                <w:szCs w:val="16"/>
                <w:b w:val="1"/>
                <w:bCs w:val="1"/>
                <w:color w:val="231F20"/>
                <w:w w:val="97"/>
              </w:rPr>
              <w:t>Title of each class</w:t>
            </w:r>
          </w:p>
        </w:tc>
        <w:tc>
          <w:tcPr>
            <w:tcW w:w="480" w:type="dxa"/>
            <w:vAlign w:val="bottom"/>
            <w:tcBorders>
              <w:top w:val="single" w:sz="8" w:color="231F20"/>
              <w:bottom w:val="single" w:sz="8" w:color="231F20"/>
            </w:tcBorders>
          </w:tcPr>
          <w:p>
            <w:pPr>
              <w:spacing w:after="0"/>
              <w:rPr>
                <w:sz w:val="15"/>
                <w:szCs w:val="15"/>
                <w:color w:val="auto"/>
              </w:rPr>
            </w:pPr>
          </w:p>
        </w:tc>
        <w:tc>
          <w:tcPr>
            <w:tcW w:w="180" w:type="dxa"/>
            <w:vAlign w:val="bottom"/>
            <w:tcBorders>
              <w:top w:val="single" w:sz="8" w:color="231F20"/>
              <w:bottom w:val="single" w:sz="8" w:color="231F20"/>
              <w:right w:val="single" w:sz="8" w:color="231F20"/>
            </w:tcBorders>
          </w:tcPr>
          <w:p>
            <w:pPr>
              <w:spacing w:after="0"/>
              <w:rPr>
                <w:sz w:val="15"/>
                <w:szCs w:val="15"/>
                <w:color w:val="auto"/>
              </w:rPr>
            </w:pPr>
          </w:p>
        </w:tc>
        <w:tc>
          <w:tcPr>
            <w:tcW w:w="2980" w:type="dxa"/>
            <w:vAlign w:val="bottom"/>
            <w:tcBorders>
              <w:top w:val="single" w:sz="8" w:color="231F20"/>
              <w:bottom w:val="single" w:sz="8" w:color="231F20"/>
            </w:tcBorders>
          </w:tcPr>
          <w:p>
            <w:pPr>
              <w:jc w:val="center"/>
              <w:ind w:left="322"/>
              <w:spacing w:after="0" w:line="181" w:lineRule="exact"/>
              <w:rPr>
                <w:sz w:val="20"/>
                <w:szCs w:val="20"/>
                <w:color w:val="auto"/>
              </w:rPr>
            </w:pPr>
            <w:r>
              <w:rPr>
                <w:rFonts w:ascii="Times New Roman" w:cs="Times New Roman" w:eastAsia="Times New Roman" w:hAnsi="Times New Roman"/>
                <w:sz w:val="16"/>
                <w:szCs w:val="16"/>
                <w:b w:val="1"/>
                <w:bCs w:val="1"/>
                <w:color w:val="231F20"/>
                <w:w w:val="97"/>
              </w:rPr>
              <w:t>Trading symbol</w:t>
            </w:r>
          </w:p>
        </w:tc>
        <w:tc>
          <w:tcPr>
            <w:tcW w:w="360" w:type="dxa"/>
            <w:vAlign w:val="bottom"/>
            <w:tcBorders>
              <w:top w:val="single" w:sz="8" w:color="231F20"/>
              <w:bottom w:val="single" w:sz="8" w:color="231F20"/>
            </w:tcBorders>
          </w:tcPr>
          <w:p>
            <w:pPr>
              <w:spacing w:after="0"/>
              <w:rPr>
                <w:sz w:val="15"/>
                <w:szCs w:val="15"/>
                <w:color w:val="auto"/>
              </w:rPr>
            </w:pPr>
          </w:p>
        </w:tc>
        <w:tc>
          <w:tcPr>
            <w:tcW w:w="60" w:type="dxa"/>
            <w:vAlign w:val="bottom"/>
            <w:tcBorders>
              <w:top w:val="single" w:sz="8" w:color="231F20"/>
              <w:bottom w:val="single" w:sz="8" w:color="231F20"/>
              <w:right w:val="single" w:sz="8" w:color="231F20"/>
            </w:tcBorders>
          </w:tcPr>
          <w:p>
            <w:pPr>
              <w:spacing w:after="0"/>
              <w:rPr>
                <w:sz w:val="15"/>
                <w:szCs w:val="15"/>
                <w:color w:val="auto"/>
              </w:rPr>
            </w:pPr>
          </w:p>
        </w:tc>
        <w:tc>
          <w:tcPr>
            <w:tcW w:w="200" w:type="dxa"/>
            <w:vAlign w:val="bottom"/>
            <w:tcBorders>
              <w:top w:val="single" w:sz="8" w:color="231F20"/>
              <w:bottom w:val="single" w:sz="8" w:color="231F20"/>
            </w:tcBorders>
          </w:tcPr>
          <w:p>
            <w:pPr>
              <w:spacing w:after="0"/>
              <w:rPr>
                <w:sz w:val="15"/>
                <w:szCs w:val="15"/>
                <w:color w:val="auto"/>
              </w:rPr>
            </w:pPr>
          </w:p>
        </w:tc>
        <w:tc>
          <w:tcPr>
            <w:tcW w:w="3240" w:type="dxa"/>
            <w:vAlign w:val="bottom"/>
            <w:tcBorders>
              <w:top w:val="single" w:sz="8" w:color="231F20"/>
              <w:bottom w:val="single" w:sz="8" w:color="231F20"/>
              <w:right w:val="single" w:sz="8" w:color="231F20"/>
            </w:tcBorders>
            <w:gridSpan w:val="2"/>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c>
          <w:tcPr>
            <w:tcW w:w="0" w:type="dxa"/>
            <w:vAlign w:val="bottom"/>
          </w:tcPr>
          <w:p>
            <w:pPr>
              <w:spacing w:after="0"/>
              <w:rPr>
                <w:sz w:val="1"/>
                <w:szCs w:val="1"/>
                <w:color w:val="auto"/>
              </w:rPr>
            </w:pPr>
          </w:p>
        </w:tc>
      </w:tr>
      <w:tr>
        <w:trPr>
          <w:trHeight w:val="159"/>
        </w:trPr>
        <w:tc>
          <w:tcPr>
            <w:tcW w:w="2980" w:type="dxa"/>
            <w:vAlign w:val="bottom"/>
            <w:tcBorders>
              <w:left w:val="single" w:sz="8" w:color="231F20"/>
              <w:bottom w:val="single" w:sz="8" w:color="231F20"/>
            </w:tcBorders>
          </w:tcPr>
          <w:p>
            <w:pPr>
              <w:jc w:val="center"/>
              <w:ind w:left="564"/>
              <w:spacing w:after="0" w:line="159" w:lineRule="exact"/>
              <w:rPr>
                <w:sz w:val="20"/>
                <w:szCs w:val="20"/>
                <w:color w:val="auto"/>
              </w:rPr>
            </w:pPr>
            <w:r>
              <w:rPr>
                <w:rFonts w:ascii="Times New Roman" w:cs="Times New Roman" w:eastAsia="Times New Roman" w:hAnsi="Times New Roman"/>
                <w:sz w:val="16"/>
                <w:szCs w:val="16"/>
                <w:b w:val="1"/>
                <w:bCs w:val="1"/>
                <w:color w:val="231F20"/>
                <w:w w:val="97"/>
              </w:rPr>
              <w:t>$0 Par Value Ordinary Shares</w:t>
            </w:r>
          </w:p>
        </w:tc>
        <w:tc>
          <w:tcPr>
            <w:tcW w:w="480" w:type="dxa"/>
            <w:vAlign w:val="bottom"/>
            <w:tcBorders>
              <w:bottom w:val="single" w:sz="8" w:color="231F20"/>
            </w:tcBorders>
          </w:tcPr>
          <w:p>
            <w:pPr>
              <w:spacing w:after="0"/>
              <w:rPr>
                <w:sz w:val="13"/>
                <w:szCs w:val="13"/>
                <w:color w:val="auto"/>
              </w:rPr>
            </w:pPr>
          </w:p>
        </w:tc>
        <w:tc>
          <w:tcPr>
            <w:tcW w:w="180" w:type="dxa"/>
            <w:vAlign w:val="bottom"/>
            <w:tcBorders>
              <w:bottom w:val="single" w:sz="8" w:color="231F20"/>
              <w:right w:val="single" w:sz="8" w:color="231F20"/>
            </w:tcBorders>
          </w:tcPr>
          <w:p>
            <w:pPr>
              <w:spacing w:after="0"/>
              <w:rPr>
                <w:sz w:val="13"/>
                <w:szCs w:val="13"/>
                <w:color w:val="auto"/>
              </w:rPr>
            </w:pPr>
          </w:p>
        </w:tc>
        <w:tc>
          <w:tcPr>
            <w:tcW w:w="2980" w:type="dxa"/>
            <w:vAlign w:val="bottom"/>
            <w:tcBorders>
              <w:bottom w:val="single" w:sz="8" w:color="231F20"/>
            </w:tcBorders>
          </w:tcPr>
          <w:p>
            <w:pPr>
              <w:jc w:val="center"/>
              <w:ind w:left="322"/>
              <w:spacing w:after="0" w:line="159" w:lineRule="exact"/>
              <w:rPr>
                <w:sz w:val="20"/>
                <w:szCs w:val="20"/>
                <w:color w:val="auto"/>
              </w:rPr>
            </w:pPr>
            <w:r>
              <w:rPr>
                <w:rFonts w:ascii="Times New Roman" w:cs="Times New Roman" w:eastAsia="Times New Roman" w:hAnsi="Times New Roman"/>
                <w:sz w:val="16"/>
                <w:szCs w:val="16"/>
                <w:b w:val="1"/>
                <w:bCs w:val="1"/>
                <w:color w:val="231F20"/>
                <w:w w:val="99"/>
              </w:rPr>
              <w:t>WVE</w:t>
            </w:r>
          </w:p>
        </w:tc>
        <w:tc>
          <w:tcPr>
            <w:tcW w:w="360" w:type="dxa"/>
            <w:vAlign w:val="bottom"/>
            <w:tcBorders>
              <w:bottom w:val="single" w:sz="8" w:color="231F20"/>
            </w:tcBorders>
          </w:tcPr>
          <w:p>
            <w:pPr>
              <w:spacing w:after="0"/>
              <w:rPr>
                <w:sz w:val="13"/>
                <w:szCs w:val="13"/>
                <w:color w:val="auto"/>
              </w:rPr>
            </w:pPr>
          </w:p>
        </w:tc>
        <w:tc>
          <w:tcPr>
            <w:tcW w:w="60" w:type="dxa"/>
            <w:vAlign w:val="bottom"/>
            <w:tcBorders>
              <w:bottom w:val="single" w:sz="8" w:color="231F20"/>
              <w:right w:val="single" w:sz="8" w:color="231F20"/>
            </w:tcBorders>
          </w:tcPr>
          <w:p>
            <w:pPr>
              <w:spacing w:after="0"/>
              <w:rPr>
                <w:sz w:val="13"/>
                <w:szCs w:val="13"/>
                <w:color w:val="auto"/>
              </w:rPr>
            </w:pPr>
          </w:p>
        </w:tc>
        <w:tc>
          <w:tcPr>
            <w:tcW w:w="200" w:type="dxa"/>
            <w:vAlign w:val="bottom"/>
            <w:tcBorders>
              <w:bottom w:val="single" w:sz="8" w:color="231F20"/>
            </w:tcBorders>
          </w:tcPr>
          <w:p>
            <w:pPr>
              <w:spacing w:after="0"/>
              <w:rPr>
                <w:sz w:val="13"/>
                <w:szCs w:val="13"/>
                <w:color w:val="auto"/>
              </w:rPr>
            </w:pPr>
          </w:p>
        </w:tc>
        <w:tc>
          <w:tcPr>
            <w:tcW w:w="280" w:type="dxa"/>
            <w:vAlign w:val="bottom"/>
            <w:tcBorders>
              <w:bottom w:val="single" w:sz="8" w:color="231F20"/>
            </w:tcBorders>
          </w:tcPr>
          <w:p>
            <w:pPr>
              <w:spacing w:after="0"/>
              <w:rPr>
                <w:sz w:val="13"/>
                <w:szCs w:val="13"/>
                <w:color w:val="auto"/>
              </w:rPr>
            </w:pPr>
          </w:p>
        </w:tc>
        <w:tc>
          <w:tcPr>
            <w:tcW w:w="2960" w:type="dxa"/>
            <w:vAlign w:val="bottom"/>
            <w:tcBorders>
              <w:bottom w:val="single" w:sz="8" w:color="231F20"/>
              <w:right w:val="single" w:sz="8" w:color="231F20"/>
            </w:tcBorders>
          </w:tcPr>
          <w:p>
            <w:pPr>
              <w:ind w:left="320"/>
              <w:spacing w:after="0" w:line="159" w:lineRule="exact"/>
              <w:rPr>
                <w:sz w:val="20"/>
                <w:szCs w:val="20"/>
                <w:color w:val="auto"/>
              </w:rPr>
            </w:pPr>
            <w:r>
              <w:rPr>
                <w:rFonts w:ascii="Times New Roman" w:cs="Times New Roman" w:eastAsia="Times New Roman" w:hAnsi="Times New Roman"/>
                <w:sz w:val="16"/>
                <w:szCs w:val="16"/>
                <w:b w:val="1"/>
                <w:bCs w:val="1"/>
                <w:color w:val="231F20"/>
              </w:rPr>
              <w:t>The Nasdaq Global Market</w:t>
            </w:r>
          </w:p>
        </w:tc>
        <w:tc>
          <w:tcPr>
            <w:tcW w:w="0" w:type="dxa"/>
            <w:vAlign w:val="bottom"/>
          </w:tcPr>
          <w:p>
            <w:pPr>
              <w:spacing w:after="0"/>
              <w:rPr>
                <w:sz w:val="1"/>
                <w:szCs w:val="1"/>
                <w:color w:val="auto"/>
              </w:rPr>
            </w:pPr>
          </w:p>
        </w:tc>
      </w:tr>
      <w:tr>
        <w:trPr>
          <w:trHeight w:val="305"/>
        </w:trPr>
        <w:tc>
          <w:tcPr>
            <w:tcW w:w="2980" w:type="dxa"/>
            <w:vAlign w:val="bottom"/>
          </w:tcPr>
          <w:p>
            <w:pPr>
              <w:spacing w:after="0"/>
              <w:rPr>
                <w:sz w:val="24"/>
                <w:szCs w:val="24"/>
                <w:color w:val="auto"/>
              </w:rPr>
            </w:pPr>
          </w:p>
        </w:tc>
        <w:tc>
          <w:tcPr>
            <w:tcW w:w="4540" w:type="dxa"/>
            <w:vAlign w:val="bottom"/>
            <w:gridSpan w:val="7"/>
          </w:tcPr>
          <w:p>
            <w:pPr>
              <w:ind w:left="160"/>
              <w:spacing w:after="0"/>
              <w:rPr>
                <w:sz w:val="20"/>
                <w:szCs w:val="20"/>
                <w:color w:val="auto"/>
              </w:rPr>
            </w:pPr>
            <w:r>
              <w:rPr>
                <w:rFonts w:ascii="Times New Roman" w:cs="Times New Roman" w:eastAsia="Times New Roman" w:hAnsi="Times New Roman"/>
                <w:sz w:val="16"/>
                <w:szCs w:val="16"/>
                <w:b w:val="1"/>
                <w:bCs w:val="1"/>
                <w:color w:val="231F20"/>
              </w:rPr>
              <w:t>Securities registered pursuant to Section 12(g) of the Act: None</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60" w:type="dxa"/>
            <w:vAlign w:val="bottom"/>
            <w:gridSpan w:val="2"/>
          </w:tcPr>
          <w:p>
            <w:pPr>
              <w:spacing w:after="0"/>
              <w:rPr>
                <w:sz w:val="7"/>
                <w:szCs w:val="7"/>
                <w:color w:val="auto"/>
              </w:rPr>
            </w:pPr>
          </w:p>
        </w:tc>
        <w:tc>
          <w:tcPr>
            <w:tcW w:w="3520" w:type="dxa"/>
            <w:vAlign w:val="bottom"/>
            <w:tcBorders>
              <w:bottom w:val="single" w:sz="8" w:color="231F20"/>
            </w:tcBorders>
            <w:gridSpan w:val="3"/>
          </w:tcPr>
          <w:p>
            <w:pPr>
              <w:spacing w:after="0"/>
              <w:rPr>
                <w:sz w:val="7"/>
                <w:szCs w:val="7"/>
                <w:color w:val="auto"/>
              </w:rPr>
            </w:pPr>
          </w:p>
        </w:tc>
        <w:tc>
          <w:tcPr>
            <w:tcW w:w="60" w:type="dxa"/>
            <w:vAlign w:val="bottom"/>
            <w:tcBorders>
              <w:bottom w:val="single" w:sz="8" w:color="231F20"/>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vMerge w:val="restart"/>
          </w:tcPr>
          <w:p>
            <w:pPr>
              <w:ind w:left="40"/>
              <w:spacing w:after="0"/>
              <w:rPr>
                <w:sz w:val="20"/>
                <w:szCs w:val="20"/>
                <w:color w:val="auto"/>
              </w:rPr>
            </w:pPr>
            <w:r>
              <w:rPr>
                <w:rFonts w:ascii="Segoe UI" w:cs="Segoe UI" w:eastAsia="Segoe UI" w:hAnsi="Segoe UI"/>
                <w:sz w:val="15"/>
                <w:szCs w:val="15"/>
                <w:color w:val="231F20"/>
              </w:rPr>
              <w:t>ց</w:t>
            </w:r>
          </w:p>
        </w:tc>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231F20"/>
              </w:rPr>
              <w:t xml:space="preserve">No </w:t>
            </w:r>
            <w:r>
              <w:rPr>
                <w:rFonts w:ascii="Segoe UI" w:cs="Segoe UI" w:eastAsia="Segoe UI" w:hAnsi="Segoe UI"/>
                <w:sz w:val="15"/>
                <w:szCs w:val="15"/>
                <w:color w:val="231F20"/>
              </w:rPr>
              <w:t>տ</w:t>
            </w:r>
          </w:p>
        </w:tc>
        <w:tc>
          <w:tcPr>
            <w:tcW w:w="0" w:type="dxa"/>
            <w:vAlign w:val="bottom"/>
          </w:tcPr>
          <w:p>
            <w:pPr>
              <w:spacing w:after="0"/>
              <w:rPr>
                <w:sz w:val="1"/>
                <w:szCs w:val="1"/>
                <w:color w:val="auto"/>
              </w:rPr>
            </w:pPr>
          </w:p>
        </w:tc>
      </w:tr>
      <w:tr>
        <w:trPr>
          <w:trHeight w:val="239"/>
        </w:trPr>
        <w:tc>
          <w:tcPr>
            <w:tcW w:w="6980" w:type="dxa"/>
            <w:vAlign w:val="bottom"/>
            <w:gridSpan w:val="5"/>
          </w:tcPr>
          <w:p>
            <w:pPr>
              <w:spacing w:after="0"/>
              <w:rPr>
                <w:sz w:val="20"/>
                <w:szCs w:val="20"/>
                <w:color w:val="auto"/>
              </w:rPr>
            </w:pPr>
            <w:r>
              <w:rPr>
                <w:rFonts w:ascii="Times New Roman" w:cs="Times New Roman" w:eastAsia="Times New Roman" w:hAnsi="Times New Roman"/>
                <w:sz w:val="15"/>
                <w:szCs w:val="15"/>
                <w:color w:val="231F20"/>
                <w:w w:val="98"/>
              </w:rPr>
              <w:t>Indicate by check mark if the registrant is a well-known seasoned issuer, as defined in Rule 405 of the Securities Act.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4"/>
              </w:rPr>
              <w:t>Yes</w:t>
            </w:r>
          </w:p>
        </w:tc>
        <w:tc>
          <w:tcPr>
            <w:tcW w:w="280" w:type="dxa"/>
            <w:vAlign w:val="bottom"/>
            <w:vMerge w:val="continue"/>
          </w:tcPr>
          <w:p>
            <w:pPr>
              <w:spacing w:after="0"/>
              <w:rPr>
                <w:sz w:val="20"/>
                <w:szCs w:val="20"/>
                <w:color w:val="auto"/>
              </w:rPr>
            </w:pP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620" w:type="dxa"/>
            <w:vAlign w:val="bottom"/>
            <w:gridSpan w:val="4"/>
          </w:tcPr>
          <w:p>
            <w:pPr>
              <w:spacing w:after="0"/>
              <w:rPr>
                <w:sz w:val="20"/>
                <w:szCs w:val="20"/>
                <w:color w:val="auto"/>
              </w:rPr>
            </w:pPr>
            <w:r>
              <w:rPr>
                <w:rFonts w:ascii="Times New Roman" w:cs="Times New Roman" w:eastAsia="Times New Roman" w:hAnsi="Times New Roman"/>
                <w:sz w:val="15"/>
                <w:szCs w:val="15"/>
                <w:color w:val="231F20"/>
                <w:w w:val="98"/>
              </w:rPr>
              <w:t>Indicate by check mark if the registrant is not required to file reports pursuant to Section 13 or 15(d) of the Act.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color w:val="231F20"/>
                <w:w w:val="94"/>
              </w:rPr>
              <w:t>Yes</w:t>
            </w:r>
          </w:p>
        </w:tc>
        <w:tc>
          <w:tcPr>
            <w:tcW w:w="60" w:type="dxa"/>
            <w:vAlign w:val="bottom"/>
          </w:tcPr>
          <w:p>
            <w:pPr>
              <w:spacing w:after="0"/>
              <w:rPr>
                <w:sz w:val="24"/>
                <w:szCs w:val="24"/>
                <w:color w:val="auto"/>
              </w:rPr>
            </w:pPr>
          </w:p>
        </w:tc>
        <w:tc>
          <w:tcPr>
            <w:tcW w:w="200" w:type="dxa"/>
            <w:vAlign w:val="bottom"/>
          </w:tcPr>
          <w:p>
            <w:pPr>
              <w:jc w:val="center"/>
              <w:ind w:right="7"/>
              <w:spacing w:after="0"/>
              <w:rPr>
                <w:sz w:val="20"/>
                <w:szCs w:val="20"/>
                <w:color w:val="auto"/>
              </w:rPr>
            </w:pPr>
            <w:r>
              <w:rPr>
                <w:rFonts w:ascii="Segoe UI" w:cs="Segoe UI" w:eastAsia="Segoe UI" w:hAnsi="Segoe UI"/>
                <w:sz w:val="15"/>
                <w:szCs w:val="15"/>
                <w:color w:val="231F20"/>
                <w:w w:val="95"/>
              </w:rPr>
              <w:t>տ</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231F20"/>
                <w:w w:val="97"/>
              </w:rPr>
              <w:t>No</w:t>
            </w:r>
          </w:p>
        </w:tc>
        <w:tc>
          <w:tcPr>
            <w:tcW w:w="2960" w:type="dxa"/>
            <w:vAlign w:val="bottom"/>
          </w:tcPr>
          <w:p>
            <w:pPr>
              <w:ind w:left="40"/>
              <w:spacing w:after="0"/>
              <w:rPr>
                <w:sz w:val="20"/>
                <w:szCs w:val="20"/>
                <w:color w:val="auto"/>
              </w:rPr>
            </w:pPr>
            <w:r>
              <w:rPr>
                <w:rFonts w:ascii="Segoe UI" w:cs="Segoe UI" w:eastAsia="Segoe UI" w:hAnsi="Segoe UI"/>
                <w:sz w:val="15"/>
                <w:szCs w:val="15"/>
                <w:color w:val="231F20"/>
              </w:rPr>
              <w:t>ց</w:t>
            </w:r>
          </w:p>
        </w:tc>
        <w:tc>
          <w:tcPr>
            <w:tcW w:w="0" w:type="dxa"/>
            <w:vAlign w:val="bottom"/>
          </w:tcPr>
          <w:p>
            <w:pPr>
              <w:spacing w:after="0"/>
              <w:rPr>
                <w:sz w:val="1"/>
                <w:szCs w:val="1"/>
                <w:color w:val="auto"/>
              </w:rPr>
            </w:pPr>
          </w:p>
        </w:tc>
      </w:tr>
    </w:tbl>
    <w:p>
      <w:pPr>
        <w:ind w:right="100"/>
        <w:spacing w:after="0" w:line="289"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4"/>
          <w:szCs w:val="14"/>
          <w:color w:val="231F20"/>
        </w:rPr>
        <w:t>ց</w:t>
      </w:r>
      <w:r>
        <w:rPr>
          <w:rFonts w:ascii="Times New Roman" w:cs="Times New Roman" w:eastAsia="Times New Roman" w:hAnsi="Times New Roman"/>
          <w:sz w:val="14"/>
          <w:szCs w:val="14"/>
          <w:color w:val="231F20"/>
        </w:rPr>
        <w:t xml:space="preserve"> No </w:t>
      </w:r>
      <w:r>
        <w:rPr>
          <w:rFonts w:ascii="Segoe UI" w:cs="Segoe UI" w:eastAsia="Segoe UI" w:hAnsi="Segoe UI"/>
          <w:sz w:val="14"/>
          <w:szCs w:val="14"/>
          <w:color w:val="231F20"/>
        </w:rPr>
        <w:t>տ</w:t>
      </w:r>
    </w:p>
    <w:p>
      <w:pPr>
        <w:spacing w:after="0" w:line="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5"/>
          <w:szCs w:val="15"/>
          <w:color w:val="231F20"/>
        </w:rPr>
        <w:t>ց</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տ</w:t>
      </w:r>
    </w:p>
    <w:p>
      <w:pPr>
        <w:spacing w:after="0" w:line="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5"/>
          <w:szCs w:val="15"/>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231F20"/>
              </w:rPr>
              <w:t>Large accelerated filer</w:t>
            </w:r>
          </w:p>
        </w:tc>
        <w:tc>
          <w:tcPr>
            <w:tcW w:w="3260" w:type="dxa"/>
            <w:vAlign w:val="bottom"/>
          </w:tcPr>
          <w:p>
            <w:pPr>
              <w:ind w:left="400"/>
              <w:spacing w:after="0"/>
              <w:rPr>
                <w:sz w:val="20"/>
                <w:szCs w:val="20"/>
                <w:color w:val="auto"/>
              </w:rPr>
            </w:pPr>
            <w:r>
              <w:rPr>
                <w:rFonts w:ascii="Segoe UI" w:cs="Segoe UI" w:eastAsia="Segoe UI" w:hAnsi="Segoe UI"/>
                <w:sz w:val="15"/>
                <w:szCs w:val="15"/>
                <w:color w:val="231F20"/>
              </w:rPr>
              <w:t>ց</w:t>
            </w:r>
          </w:p>
        </w:tc>
        <w:tc>
          <w:tcPr>
            <w:tcW w:w="4780" w:type="dxa"/>
            <w:vAlign w:val="bottom"/>
          </w:tcPr>
          <w:p>
            <w:pPr>
              <w:ind w:left="2720"/>
              <w:spacing w:after="0"/>
              <w:rPr>
                <w:sz w:val="20"/>
                <w:szCs w:val="20"/>
                <w:color w:val="auto"/>
              </w:rPr>
            </w:pPr>
            <w:r>
              <w:rPr>
                <w:rFonts w:ascii="Times New Roman" w:cs="Times New Roman" w:eastAsia="Times New Roman" w:hAnsi="Times New Roman"/>
                <w:sz w:val="15"/>
                <w:szCs w:val="15"/>
                <w:color w:val="231F20"/>
              </w:rPr>
              <w:t>Accelerated filer</w:t>
            </w:r>
          </w:p>
        </w:tc>
        <w:tc>
          <w:tcPr>
            <w:tcW w:w="580" w:type="dxa"/>
            <w:vAlign w:val="bottom"/>
          </w:tcPr>
          <w:p>
            <w:pPr>
              <w:ind w:left="460"/>
              <w:spacing w:after="0"/>
              <w:rPr>
                <w:sz w:val="20"/>
                <w:szCs w:val="20"/>
                <w:color w:val="auto"/>
              </w:rPr>
            </w:pPr>
            <w:r>
              <w:rPr>
                <w:rFonts w:ascii="Segoe UI" w:cs="Segoe UI" w:eastAsia="Segoe UI" w:hAnsi="Segoe UI"/>
                <w:sz w:val="15"/>
                <w:szCs w:val="15"/>
                <w:color w:val="231F20"/>
                <w:w w:val="79"/>
              </w:rPr>
              <w:t>տ</w:t>
            </w:r>
          </w:p>
        </w:tc>
      </w:tr>
      <w:tr>
        <w:trPr>
          <w:trHeight w:val="193"/>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231F20"/>
              </w:rPr>
              <w:t>Non-accelerated filer</w:t>
            </w:r>
          </w:p>
        </w:tc>
        <w:tc>
          <w:tcPr>
            <w:tcW w:w="3260" w:type="dxa"/>
            <w:vAlign w:val="bottom"/>
          </w:tcPr>
          <w:p>
            <w:pPr>
              <w:ind w:left="400"/>
              <w:spacing w:after="0" w:line="193" w:lineRule="exact"/>
              <w:rPr>
                <w:sz w:val="20"/>
                <w:szCs w:val="20"/>
                <w:color w:val="auto"/>
              </w:rPr>
            </w:pPr>
            <w:r>
              <w:rPr>
                <w:rFonts w:ascii="Segoe UI" w:cs="Segoe UI" w:eastAsia="Segoe UI" w:hAnsi="Segoe UI"/>
                <w:sz w:val="15"/>
                <w:szCs w:val="15"/>
                <w:color w:val="231F20"/>
              </w:rPr>
              <w:t>տ</w:t>
            </w:r>
          </w:p>
        </w:tc>
        <w:tc>
          <w:tcPr>
            <w:tcW w:w="4780" w:type="dxa"/>
            <w:vAlign w:val="bottom"/>
          </w:tcPr>
          <w:p>
            <w:pPr>
              <w:ind w:left="2720"/>
              <w:spacing w:after="0"/>
              <w:rPr>
                <w:sz w:val="20"/>
                <w:szCs w:val="20"/>
                <w:color w:val="auto"/>
              </w:rPr>
            </w:pPr>
            <w:r>
              <w:rPr>
                <w:rFonts w:ascii="Times New Roman" w:cs="Times New Roman" w:eastAsia="Times New Roman" w:hAnsi="Times New Roman"/>
                <w:sz w:val="15"/>
                <w:szCs w:val="15"/>
                <w:color w:val="231F20"/>
              </w:rPr>
              <w:t>Smaller reporting company</w:t>
            </w:r>
          </w:p>
        </w:tc>
        <w:tc>
          <w:tcPr>
            <w:tcW w:w="580" w:type="dxa"/>
            <w:vAlign w:val="bottom"/>
          </w:tcPr>
          <w:p>
            <w:pPr>
              <w:ind w:left="460"/>
              <w:spacing w:after="0" w:line="193" w:lineRule="exact"/>
              <w:rPr>
                <w:sz w:val="20"/>
                <w:szCs w:val="20"/>
                <w:color w:val="auto"/>
              </w:rPr>
            </w:pPr>
            <w:r>
              <w:rPr>
                <w:rFonts w:ascii="Segoe UI" w:cs="Segoe UI" w:eastAsia="Segoe UI" w:hAnsi="Segoe UI"/>
                <w:sz w:val="15"/>
                <w:szCs w:val="15"/>
                <w:color w:val="231F20"/>
                <w:w w:val="79"/>
              </w:rPr>
              <w:t>տ</w:t>
            </w:r>
          </w:p>
        </w:tc>
      </w:tr>
      <w:tr>
        <w:trPr>
          <w:trHeight w:val="288"/>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780" w:type="dxa"/>
            <w:vAlign w:val="bottom"/>
          </w:tcPr>
          <w:p>
            <w:pPr>
              <w:ind w:left="2720"/>
              <w:spacing w:after="0"/>
              <w:rPr>
                <w:sz w:val="20"/>
                <w:szCs w:val="20"/>
                <w:color w:val="auto"/>
              </w:rPr>
            </w:pPr>
            <w:r>
              <w:rPr>
                <w:rFonts w:ascii="Times New Roman" w:cs="Times New Roman" w:eastAsia="Times New Roman" w:hAnsi="Times New Roman"/>
                <w:sz w:val="15"/>
                <w:szCs w:val="15"/>
                <w:color w:val="231F20"/>
              </w:rPr>
              <w:t>Emerging growth company</w:t>
            </w:r>
          </w:p>
        </w:tc>
        <w:tc>
          <w:tcPr>
            <w:tcW w:w="580" w:type="dxa"/>
            <w:vAlign w:val="bottom"/>
          </w:tcPr>
          <w:p>
            <w:pPr>
              <w:ind w:left="460"/>
              <w:spacing w:after="0"/>
              <w:rPr>
                <w:sz w:val="20"/>
                <w:szCs w:val="20"/>
                <w:color w:val="auto"/>
              </w:rPr>
            </w:pPr>
            <w:r>
              <w:rPr>
                <w:rFonts w:ascii="Segoe UI" w:cs="Segoe UI" w:eastAsia="Segoe UI" w:hAnsi="Segoe UI"/>
                <w:sz w:val="15"/>
                <w:szCs w:val="15"/>
                <w:color w:val="231F20"/>
                <w:w w:val="79"/>
              </w:rPr>
              <w:t>տ</w:t>
            </w:r>
          </w:p>
        </w:tc>
      </w:tr>
    </w:tbl>
    <w:p>
      <w:pPr>
        <w:ind w:right="360"/>
        <w:spacing w:after="0" w:line="270" w:lineRule="auto"/>
        <w:rPr>
          <w:sz w:val="20"/>
          <w:szCs w:val="20"/>
          <w:color w:val="auto"/>
        </w:rPr>
      </w:pPr>
      <w:r>
        <w:rPr>
          <w:rFonts w:ascii="Times New Roman" w:cs="Times New Roman" w:eastAsia="Times New Roman" w:hAnsi="Times New Roman"/>
          <w:sz w:val="15"/>
          <w:szCs w:val="15"/>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231F20"/>
        </w:rPr>
        <w:t>տ</w:t>
      </w:r>
    </w:p>
    <w:p>
      <w:pPr>
        <w:spacing w:after="0" w:line="1" w:lineRule="exact"/>
        <w:rPr>
          <w:sz w:val="20"/>
          <w:szCs w:val="20"/>
          <w:color w:val="auto"/>
        </w:rPr>
      </w:pPr>
    </w:p>
    <w:p>
      <w:pPr>
        <w:ind w:right="580"/>
        <w:spacing w:after="0" w:line="289"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4"/>
          <w:szCs w:val="14"/>
          <w:color w:val="231F20"/>
        </w:rPr>
        <w:t>ց</w:t>
      </w:r>
    </w:p>
    <w:p>
      <w:pPr>
        <w:spacing w:after="0" w:line="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231F20"/>
        </w:rPr>
        <w:t>տ</w:t>
      </w:r>
    </w:p>
    <w:p>
      <w:pPr>
        <w:spacing w:after="0" w:line="1"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5"/>
          <w:szCs w:val="15"/>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5"/>
          <w:szCs w:val="15"/>
          <w:color w:val="231F20"/>
        </w:rPr>
        <w:t>տ</w:t>
      </w: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5"/>
          <w:szCs w:val="15"/>
          <w:color w:val="231F20"/>
        </w:rPr>
        <w:t>Indicate by check mark whether the registrant is a shell company (as defined in Rule 12b-2 of the Exchange Act).</w:t>
        <w:tab/>
        <w:t xml:space="preserve">Yes </w:t>
      </w:r>
      <w:r>
        <w:rPr>
          <w:rFonts w:ascii="Segoe UI" w:cs="Segoe UI" w:eastAsia="Segoe UI" w:hAnsi="Segoe UI"/>
          <w:sz w:val="15"/>
          <w:szCs w:val="15"/>
          <w:color w:val="231F20"/>
        </w:rPr>
        <w:t>տ</w:t>
      </w:r>
      <w:r>
        <w:rPr>
          <w:rFonts w:ascii="Times New Roman" w:cs="Times New Roman" w:eastAsia="Times New Roman" w:hAnsi="Times New Roman"/>
          <w:sz w:val="15"/>
          <w:szCs w:val="15"/>
          <w:color w:val="231F20"/>
        </w:rPr>
        <w:tab/>
        <w:t xml:space="preserve">No </w:t>
      </w:r>
      <w:r>
        <w:rPr>
          <w:rFonts w:ascii="Segoe UI" w:cs="Segoe UI" w:eastAsia="Segoe UI" w:hAnsi="Segoe UI"/>
          <w:sz w:val="15"/>
          <w:szCs w:val="15"/>
          <w:color w:val="231F20"/>
        </w:rPr>
        <w:t>ց</w:t>
      </w:r>
    </w:p>
    <w:p>
      <w:pPr>
        <w:spacing w:after="0" w:line="5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5"/>
          <w:szCs w:val="15"/>
          <w:color w:val="231F20"/>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30, 2025) was $851,013,538.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The number of outstanding ordinary shares of the registrant as of February 19, 2026 was 188,254,954.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2199640</wp:posOffset>
                </wp:positionH>
                <wp:positionV relativeFrom="paragraph">
                  <wp:posOffset>76200</wp:posOffset>
                </wp:positionV>
                <wp:extent cx="225234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2345" cy="4763"/>
                        </a:xfrm>
                        <a:prstGeom prst="line">
                          <a:avLst/>
                        </a:prstGeom>
                        <a:solidFill>
                          <a:srgbClr val="FFFFFF"/>
                        </a:solidFill>
                        <a:ln w="5930">
                          <a:solidFill>
                            <a:srgbClr val="231F2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2pt,6pt" to="350.55pt,6pt" o:allowincell="f" strokecolor="#231F20" strokeweight="0.4669pt"/>
            </w:pict>
          </mc:Fallback>
        </mc:AlternateConten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DOCUMENTS INCORPORATED BY REFERENCE</w:t>
      </w:r>
    </w:p>
    <w:p>
      <w:pPr>
        <w:spacing w:after="0" w:line="5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231F20"/>
        </w:rPr>
        <w:t>If the Registrant’s Definitive Proxy Statement relating to the 2026 Annual General Meeting of Shareholders (the “Proxy Statement”) is filed with the Commission within 120 days after the end of the fiscal year covered by this Annual Report on Form 10-K, then portions of the Proxy Statement will be incorporated by reference into Part III of this Annual Report on Form 10-K. If the Proxy Statement is not filed within such 120-day period, then the Registrant will file an amendment to this Annual Report within such 120-day period that will contain the information required to be included or incorporated by reference into Part III of this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55245</wp:posOffset>
                </wp:positionV>
                <wp:extent cx="66865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6550" cy="4763"/>
                        </a:xfrm>
                        <a:prstGeom prst="line">
                          <a:avLst/>
                        </a:prstGeom>
                        <a:solidFill>
                          <a:srgbClr val="FFFFFF"/>
                        </a:solidFill>
                        <a:ln w="8877">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4.35pt" to="525.15pt,4.35pt" o:allowincell="f" strokecolor="#231F20" strokeweight="0.699pt"/>
            </w:pict>
          </mc:Fallback>
        </mc:AlternateContent>
        <mc:AlternateContent>
          <mc:Choice Requires="wps">
            <w:drawing>
              <wp:anchor simplePos="0" relativeHeight="251657728" behindDoc="1" locked="0" layoutInCell="0" allowOverlap="1">
                <wp:simplePos x="0" y="0"/>
                <wp:positionH relativeFrom="column">
                  <wp:posOffset>-17145</wp:posOffset>
                </wp:positionH>
                <wp:positionV relativeFrom="paragraph">
                  <wp:posOffset>37465</wp:posOffset>
                </wp:positionV>
                <wp:extent cx="66865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6550" cy="4763"/>
                        </a:xfrm>
                        <a:prstGeom prst="line">
                          <a:avLst/>
                        </a:prstGeom>
                        <a:solidFill>
                          <a:srgbClr val="FFFFFF"/>
                        </a:solidFill>
                        <a:ln w="8865">
                          <a:solidFill>
                            <a:srgbClr val="231F2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2.95pt" to="525.15pt,2.95pt" o:allowincell="f" strokecolor="#231F20" strokeweight="0.698pt"/>
            </w:pict>
          </mc:Fallback>
        </mc:AlternateContent>
      </w:r>
    </w:p>
    <w:p>
      <w:pPr>
        <w:sectPr>
          <w:pgSz w:w="11880" w:h="15480" w:orient="portrait"/>
          <w:cols w:equalWidth="0" w:num="1">
            <w:col w:w="10480"/>
          </w:cols>
          <w:pgMar w:left="700" w:top="930" w:right="700" w:bottom="768" w:gutter="0" w:footer="0" w:header="0"/>
        </w:sectPr>
      </w:pPr>
    </w:p>
    <w:bookmarkStart w:id="5" w:name="page6"/>
    <w:bookmarkEnd w:id="5"/>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4"/>
        </w:trPr>
        <w:tc>
          <w:tcPr>
            <w:tcW w:w="1420" w:type="dxa"/>
            <w:vAlign w:val="bottom"/>
          </w:tcPr>
          <w:p>
            <w:pPr>
              <w:spacing w:after="0"/>
              <w:rPr>
                <w:sz w:val="22"/>
                <w:szCs w:val="22"/>
                <w:color w:val="auto"/>
              </w:rPr>
            </w:pPr>
          </w:p>
        </w:tc>
        <w:tc>
          <w:tcPr>
            <w:tcW w:w="8460" w:type="dxa"/>
            <w:vAlign w:val="bottom"/>
          </w:tcPr>
          <w:p>
            <w:pPr>
              <w:jc w:val="center"/>
              <w:ind w:right="743"/>
              <w:spacing w:after="0"/>
              <w:rPr>
                <w:sz w:val="20"/>
                <w:szCs w:val="20"/>
                <w:color w:val="auto"/>
              </w:rPr>
            </w:pPr>
            <w:r>
              <w:rPr>
                <w:rFonts w:ascii="Times New Roman" w:cs="Times New Roman" w:eastAsia="Times New Roman" w:hAnsi="Times New Roman"/>
                <w:sz w:val="19"/>
                <w:szCs w:val="19"/>
                <w:b w:val="1"/>
                <w:bCs w:val="1"/>
                <w:color w:val="231F20"/>
              </w:rPr>
              <w:t>WAVE LIFE SCIENCES LTD.</w:t>
            </w:r>
          </w:p>
        </w:tc>
        <w:tc>
          <w:tcPr>
            <w:tcW w:w="600" w:type="dxa"/>
            <w:vAlign w:val="bottom"/>
          </w:tcPr>
          <w:p>
            <w:pPr>
              <w:spacing w:after="0"/>
              <w:rPr>
                <w:sz w:val="22"/>
                <w:szCs w:val="22"/>
                <w:color w:val="auto"/>
              </w:rPr>
            </w:pPr>
          </w:p>
        </w:tc>
      </w:tr>
      <w:tr>
        <w:trPr>
          <w:trHeight w:val="456"/>
        </w:trPr>
        <w:tc>
          <w:tcPr>
            <w:tcW w:w="1420" w:type="dxa"/>
            <w:vAlign w:val="bottom"/>
          </w:tcPr>
          <w:p>
            <w:pPr>
              <w:spacing w:after="0"/>
              <w:rPr>
                <w:sz w:val="24"/>
                <w:szCs w:val="24"/>
                <w:color w:val="auto"/>
              </w:rPr>
            </w:pPr>
          </w:p>
        </w:tc>
        <w:tc>
          <w:tcPr>
            <w:tcW w:w="8460" w:type="dxa"/>
            <w:vAlign w:val="bottom"/>
          </w:tcPr>
          <w:p>
            <w:pPr>
              <w:jc w:val="center"/>
              <w:ind w:right="723"/>
              <w:spacing w:after="0"/>
              <w:rPr>
                <w:sz w:val="20"/>
                <w:szCs w:val="20"/>
                <w:color w:val="auto"/>
              </w:rPr>
            </w:pPr>
            <w:r>
              <w:rPr>
                <w:rFonts w:ascii="Times New Roman" w:cs="Times New Roman" w:eastAsia="Times New Roman" w:hAnsi="Times New Roman"/>
                <w:sz w:val="19"/>
                <w:szCs w:val="19"/>
                <w:b w:val="1"/>
                <w:bCs w:val="1"/>
                <w:color w:val="231F20"/>
              </w:rPr>
              <w:t>ANNUAL REPORT ON FORM 10-K</w:t>
            </w:r>
          </w:p>
        </w:tc>
        <w:tc>
          <w:tcPr>
            <w:tcW w:w="600" w:type="dxa"/>
            <w:vAlign w:val="bottom"/>
          </w:tcPr>
          <w:p>
            <w:pPr>
              <w:spacing w:after="0"/>
              <w:rPr>
                <w:sz w:val="24"/>
                <w:szCs w:val="24"/>
                <w:color w:val="auto"/>
              </w:rPr>
            </w:pPr>
          </w:p>
        </w:tc>
      </w:tr>
      <w:tr>
        <w:trPr>
          <w:trHeight w:val="454"/>
        </w:trPr>
        <w:tc>
          <w:tcPr>
            <w:tcW w:w="1420" w:type="dxa"/>
            <w:vAlign w:val="bottom"/>
          </w:tcPr>
          <w:p>
            <w:pPr>
              <w:spacing w:after="0"/>
              <w:rPr>
                <w:sz w:val="24"/>
                <w:szCs w:val="24"/>
                <w:color w:val="auto"/>
              </w:rPr>
            </w:pPr>
          </w:p>
        </w:tc>
        <w:tc>
          <w:tcPr>
            <w:tcW w:w="8460" w:type="dxa"/>
            <w:vAlign w:val="bottom"/>
          </w:tcPr>
          <w:p>
            <w:pPr>
              <w:jc w:val="center"/>
              <w:ind w:right="723"/>
              <w:spacing w:after="0"/>
              <w:rPr>
                <w:sz w:val="20"/>
                <w:szCs w:val="20"/>
                <w:color w:val="auto"/>
              </w:rPr>
            </w:pPr>
            <w:r>
              <w:rPr>
                <w:rFonts w:ascii="Times New Roman" w:cs="Times New Roman" w:eastAsia="Times New Roman" w:hAnsi="Times New Roman"/>
                <w:sz w:val="19"/>
                <w:szCs w:val="19"/>
                <w:b w:val="1"/>
                <w:bCs w:val="1"/>
                <w:color w:val="231F20"/>
              </w:rPr>
              <w:t>TABLE OF CONTENTS</w:t>
            </w:r>
          </w:p>
        </w:tc>
        <w:tc>
          <w:tcPr>
            <w:tcW w:w="600" w:type="dxa"/>
            <w:vAlign w:val="bottom"/>
          </w:tcPr>
          <w:p>
            <w:pPr>
              <w:spacing w:after="0"/>
              <w:rPr>
                <w:sz w:val="24"/>
                <w:szCs w:val="24"/>
                <w:color w:val="auto"/>
              </w:rPr>
            </w:pPr>
          </w:p>
        </w:tc>
      </w:tr>
      <w:tr>
        <w:trPr>
          <w:trHeight w:val="409"/>
        </w:trPr>
        <w:tc>
          <w:tcPr>
            <w:tcW w:w="14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PART I</w:t>
            </w:r>
          </w:p>
        </w:tc>
        <w:tc>
          <w:tcPr>
            <w:tcW w:w="8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Business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1A.</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w:t>
            </w:r>
          </w:p>
        </w:tc>
      </w:tr>
      <w:tr>
        <w:trPr>
          <w:trHeight w:val="221"/>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1B.</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Unresolved Staff Comments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w:t>
            </w: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1C.</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Cybersecurity</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w:t>
            </w: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2.</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Properties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3.</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w:t>
            </w:r>
          </w:p>
        </w:tc>
      </w:tr>
      <w:tr>
        <w:trPr>
          <w:trHeight w:val="258"/>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4.</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w:t>
            </w:r>
          </w:p>
        </w:tc>
      </w:tr>
      <w:tr>
        <w:trPr>
          <w:trHeight w:val="410"/>
        </w:trPr>
        <w:tc>
          <w:tcPr>
            <w:tcW w:w="14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PART II</w:t>
            </w:r>
          </w:p>
        </w:tc>
        <w:tc>
          <w:tcPr>
            <w:tcW w:w="8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5.</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Market for Registrant’s Common Equity, Related Stockholder Matters and Issuer Purchases of Equity</w:t>
            </w:r>
          </w:p>
        </w:tc>
        <w:tc>
          <w:tcPr>
            <w:tcW w:w="600" w:type="dxa"/>
            <w:vAlign w:val="bottom"/>
          </w:tcPr>
          <w:p>
            <w:pPr>
              <w:spacing w:after="0"/>
              <w:rPr>
                <w:sz w:val="19"/>
                <w:szCs w:val="19"/>
                <w:color w:val="auto"/>
              </w:rPr>
            </w:pPr>
          </w:p>
        </w:tc>
      </w:tr>
      <w:tr>
        <w:trPr>
          <w:trHeight w:val="223"/>
        </w:trPr>
        <w:tc>
          <w:tcPr>
            <w:tcW w:w="1420" w:type="dxa"/>
            <w:vAlign w:val="bottom"/>
          </w:tcPr>
          <w:p>
            <w:pPr>
              <w:spacing w:after="0"/>
              <w:rPr>
                <w:sz w:val="19"/>
                <w:szCs w:val="19"/>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6.</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58</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7.</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59</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7A.</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70</w:t>
            </w:r>
          </w:p>
        </w:tc>
      </w:tr>
      <w:tr>
        <w:trPr>
          <w:trHeight w:val="221"/>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8.</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Financial Statements and Supplementary Data</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70</w:t>
            </w: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9.</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70</w:t>
            </w: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9A.</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9B.</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w:t>
            </w:r>
          </w:p>
        </w:tc>
      </w:tr>
      <w:tr>
        <w:trPr>
          <w:trHeight w:val="258"/>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9C.</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72</w:t>
            </w:r>
          </w:p>
        </w:tc>
      </w:tr>
      <w:tr>
        <w:trPr>
          <w:trHeight w:val="410"/>
        </w:trPr>
        <w:tc>
          <w:tcPr>
            <w:tcW w:w="14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PART III</w:t>
            </w:r>
          </w:p>
        </w:tc>
        <w:tc>
          <w:tcPr>
            <w:tcW w:w="8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10.</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Directors, Executive Officers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w:t>
            </w: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11.</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Executive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12.</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Security Ownership of Certain Beneficial Owners and Management and Related Stockholder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w:t>
            </w: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13.</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Certain Relationships and Related Transactions, and Director Independence</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w:t>
            </w:r>
          </w:p>
        </w:tc>
      </w:tr>
      <w:tr>
        <w:trPr>
          <w:trHeight w:val="258"/>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14.</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Principal Accountant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w:t>
            </w:r>
          </w:p>
        </w:tc>
      </w:tr>
      <w:tr>
        <w:trPr>
          <w:trHeight w:val="410"/>
        </w:trPr>
        <w:tc>
          <w:tcPr>
            <w:tcW w:w="142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PART IV</w:t>
            </w:r>
          </w:p>
        </w:tc>
        <w:tc>
          <w:tcPr>
            <w:tcW w:w="8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3"/>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15.</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Exhibits and Financial Statement Schedules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w:t>
            </w:r>
          </w:p>
        </w:tc>
      </w:tr>
      <w:tr>
        <w:trPr>
          <w:trHeight w:val="224"/>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Item 16.</w:t>
            </w:r>
          </w:p>
        </w:tc>
        <w:tc>
          <w:tcPr>
            <w:tcW w:w="8460" w:type="dxa"/>
            <w:vAlign w:val="bottom"/>
          </w:tcPr>
          <w:p>
            <w:pPr>
              <w:ind w:left="160"/>
              <w:spacing w:after="0"/>
              <w:rPr>
                <w:sz w:val="20"/>
                <w:szCs w:val="20"/>
                <w:color w:val="auto"/>
              </w:rPr>
            </w:pPr>
            <w:r>
              <w:rPr>
                <w:rFonts w:ascii="Times New Roman" w:cs="Times New Roman" w:eastAsia="Times New Roman" w:hAnsi="Times New Roman"/>
                <w:sz w:val="19"/>
                <w:szCs w:val="19"/>
                <w:color w:val="231F20"/>
              </w:rPr>
              <w:t>Form 10-K Summary</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78</w:t>
            </w:r>
          </w:p>
        </w:tc>
      </w:tr>
      <w:tr>
        <w:trPr>
          <w:trHeight w:val="258"/>
        </w:trPr>
        <w:tc>
          <w:tcPr>
            <w:tcW w:w="1420" w:type="dxa"/>
            <w:vAlign w:val="bottom"/>
          </w:tcPr>
          <w:p>
            <w:pPr>
              <w:ind w:left="460"/>
              <w:spacing w:after="0"/>
              <w:rPr>
                <w:sz w:val="20"/>
                <w:szCs w:val="20"/>
                <w:color w:val="auto"/>
              </w:rPr>
            </w:pPr>
            <w:r>
              <w:rPr>
                <w:rFonts w:ascii="Times New Roman" w:cs="Times New Roman" w:eastAsia="Times New Roman" w:hAnsi="Times New Roman"/>
                <w:sz w:val="19"/>
                <w:szCs w:val="19"/>
                <w:color w:val="231F20"/>
              </w:rPr>
              <w:t>Signatures</w:t>
            </w:r>
          </w:p>
        </w:tc>
        <w:tc>
          <w:tcPr>
            <w:tcW w:w="84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79</w:t>
            </w:r>
          </w:p>
        </w:tc>
      </w:tr>
    </w:tbl>
    <w:p>
      <w:pPr>
        <w:spacing w:after="0" w:line="200" w:lineRule="exact"/>
        <w:rPr>
          <w:sz w:val="20"/>
          <w:szCs w:val="20"/>
          <w:color w:val="auto"/>
        </w:rPr>
      </w:pPr>
    </w:p>
    <w:p>
      <w:pPr>
        <w:sectPr>
          <w:pgSz w:w="11880" w:h="15480" w:orient="portrait"/>
          <w:cols w:equalWidth="0" w:num="1">
            <w:col w:w="10480"/>
          </w:cols>
          <w:pgMar w:left="700" w:top="737" w:right="70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ii</w:t>
      </w:r>
    </w:p>
    <w:p>
      <w:pPr>
        <w:sectPr>
          <w:pgSz w:w="11880" w:h="15480" w:orient="portrait"/>
          <w:cols w:equalWidth="0" w:num="1">
            <w:col w:w="10480"/>
          </w:cols>
          <w:pgMar w:left="700" w:top="737" w:right="700" w:bottom="213"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[This page intentionally left blank]</w:t>
      </w:r>
    </w:p>
    <w:p>
      <w:pPr>
        <w:sectPr>
          <w:pgSz w:w="11880" w:h="15480" w:orient="portrait"/>
          <w:cols w:equalWidth="0" w:num="1">
            <w:col w:w="9000"/>
          </w:cols>
          <w:pgMar w:left="1440" w:top="144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b w:val="1"/>
          <w:bCs w:val="1"/>
          <w:color w:val="231F20"/>
        </w:rPr>
        <w:t>Special Note Regarding Forward-Looking Statements</w:t>
      </w:r>
    </w:p>
    <w:p>
      <w:pPr>
        <w:spacing w:after="0" w:line="12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This Annual Report on Form 10-K contains forward-looking statements within the meaning of Section 27A of the Securities Act of 1933, as amended (the “Securities Act”), and Section 21E of the Securities Exchange Act of 1934, as amended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 looking statements contain these identifying words. Forward-looking statements include statements, other than statements of historical fact, about, among other things: our ability to fund our future operations; our financial position, revenues, 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and our expectations regarding the impact of any local and global health epidemics on our business, including our research and development activities, preclinical studies and clinical trials, supply of drug product, and workforce.</w:t>
      </w:r>
    </w:p>
    <w:p>
      <w:pPr>
        <w:spacing w:after="0" w:line="29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9"/>
          <w:szCs w:val="19"/>
          <w:color w:val="231F20"/>
        </w:rPr>
        <w:t xml:space="preserve">Although we believe that we have a reasonable basis for each forward- looking statement contained in this report,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w:t>
      </w:r>
      <w:r>
        <w:rPr>
          <w:rFonts w:ascii="Times New Roman" w:cs="Times New Roman" w:eastAsia="Times New Roman" w:hAnsi="Times New Roman"/>
          <w:sz w:val="19"/>
          <w:szCs w:val="19"/>
          <w:color w:val="383738"/>
        </w:rPr>
        <w:t>These risks, uncertainties and other factors include, among other things, our critical</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383738"/>
        </w:rPr>
        <w:t xml:space="preserve">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w:t>
      </w:r>
      <w:r>
        <w:rPr>
          <w:rFonts w:ascii="Times New Roman" w:cs="Times New Roman" w:eastAsia="Times New Roman" w:hAnsi="Times New Roman"/>
          <w:sz w:val="19"/>
          <w:szCs w:val="19"/>
          <w:color w:val="231F20"/>
        </w:rPr>
        <w:t>and any impacts on our business as a result of or related to any</w:t>
      </w:r>
      <w:r>
        <w:rPr>
          <w:rFonts w:ascii="Times New Roman" w:cs="Times New Roman" w:eastAsia="Times New Roman" w:hAnsi="Times New Roman"/>
          <w:sz w:val="19"/>
          <w:szCs w:val="19"/>
          <w:color w:val="383738"/>
        </w:rPr>
        <w:t xml:space="preserve"> </w:t>
      </w:r>
      <w:r>
        <w:rPr>
          <w:rFonts w:ascii="Times New Roman" w:cs="Times New Roman" w:eastAsia="Times New Roman" w:hAnsi="Times New Roman"/>
          <w:sz w:val="19"/>
          <w:szCs w:val="19"/>
          <w:color w:val="231F20"/>
        </w:rPr>
        <w:t>local and global health epidemics, geopolitical conflicts, global economic uncertainty, the impact of tariffs and changes in economic policies, volatility in inflation, volatility in interest rates or market disruptions on our business, as well as other risks and uncertainties under the “Risk Factors” section of this Annual Report on Form 10-K and in other filings we make with the Securities and Exchange Commission (the “SEC”).</w:t>
      </w:r>
    </w:p>
    <w:p>
      <w:pPr>
        <w:spacing w:after="0" w:line="24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9"/>
          <w:szCs w:val="19"/>
          <w:color w:val="231F20"/>
        </w:rPr>
        <w:t>Each forward-looking statement contained in this report is based on a combination of facts and factors currently known by us and our expectations of the future, about which we cannot be certain.</w:t>
      </w:r>
    </w:p>
    <w:p>
      <w:pPr>
        <w:spacing w:after="0" w:line="3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9"/>
          <w:szCs w:val="19"/>
          <w:color w:val="231F20"/>
        </w:rPr>
        <w:t>As a result of these factors, we cannot assure you that the forward-looking statements in this Annual Report on Form 10-K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w:t>
      </w:r>
    </w:p>
    <w:p>
      <w:pPr>
        <w:spacing w:after="0" w:line="6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231F20"/>
        </w:rPr>
        <w:t>In addition, any forward- looking statement in this report represents our views only as of the date of this report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w:t>
      </w:r>
    </w:p>
    <w:p>
      <w:pPr>
        <w:sectPr>
          <w:pgSz w:w="11880" w:h="15480" w:orient="portrait"/>
          <w:cols w:equalWidth="0" w:num="1">
            <w:col w:w="10480"/>
          </w:cols>
          <w:pgMar w:left="700" w:top="961" w:right="700" w:bottom="213" w:gutter="0" w:footer="0" w:header="0"/>
        </w:sectPr>
      </w:pPr>
    </w:p>
    <w:bookmarkStart w:id="9" w:name="page10"/>
    <w:bookmarkEnd w:id="9"/>
    <w:p>
      <w:pPr>
        <w:ind w:left="2" w:right="340"/>
        <w:spacing w:after="0" w:line="286" w:lineRule="auto"/>
        <w:rPr>
          <w:sz w:val="20"/>
          <w:szCs w:val="20"/>
          <w:color w:val="auto"/>
        </w:rPr>
      </w:pPr>
      <w:r>
        <w:rPr>
          <w:rFonts w:ascii="Times New Roman" w:cs="Times New Roman" w:eastAsia="Times New Roman" w:hAnsi="Times New Roman"/>
          <w:sz w:val="19"/>
          <w:szCs w:val="19"/>
          <w:color w:val="231F20"/>
        </w:rPr>
        <w:t>As used in this Annual Report on Form 10-K, unless otherwise stated or the context otherwise indicates, references to “Wave,” the “Company,” “we,” “our,” “us” or similar terms refer to Wave Life Sciences Ltd. and our wholly-owned subsidiaries.</w:t>
      </w:r>
    </w:p>
    <w:p>
      <w:pPr>
        <w:spacing w:after="0" w:line="40" w:lineRule="exact"/>
        <w:rPr>
          <w:sz w:val="20"/>
          <w:szCs w:val="20"/>
          <w:color w:val="auto"/>
        </w:rPr>
      </w:pPr>
    </w:p>
    <w:p>
      <w:pPr>
        <w:ind w:left="2" w:right="100"/>
        <w:spacing w:after="0" w:line="251" w:lineRule="auto"/>
        <w:rPr>
          <w:sz w:val="20"/>
          <w:szCs w:val="20"/>
          <w:color w:val="auto"/>
        </w:rPr>
      </w:pPr>
      <w:r>
        <w:rPr>
          <w:rFonts w:ascii="Times New Roman" w:cs="Times New Roman" w:eastAsia="Times New Roman" w:hAnsi="Times New Roman"/>
          <w:sz w:val="19"/>
          <w:szCs w:val="19"/>
          <w:color w:val="231F20"/>
        </w:rPr>
        <w:t>The Wave Life Sciences Ltd. and Wave Life Sciences Pte. Ltd. names, the Wave Life Sciences mark, PRISM and the other registered and pending trademarks, trade names and service marks of Wave Life Sciences Ltd. appearing in this Annual Report on Form 10-K are the property of Wave Life Sciences Ltd. This Annual Report on Form 10- K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Annual Report on Form 10-K are referred to without the ® and ™ symbols, but such reference should not be construed as any indicator that their respective owners will not assert, to the fullest extent under applicable law, their rights thereto.</w:t>
      </w:r>
    </w:p>
    <w:p>
      <w:pPr>
        <w:spacing w:after="0" w:line="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231F20"/>
        </w:rPr>
        <w:t>Summary of Risk Factors</w:t>
      </w:r>
    </w:p>
    <w:p>
      <w:pPr>
        <w:spacing w:after="0" w:line="127" w:lineRule="exact"/>
        <w:rPr>
          <w:sz w:val="20"/>
          <w:szCs w:val="20"/>
          <w:color w:val="auto"/>
        </w:rPr>
      </w:pPr>
    </w:p>
    <w:p>
      <w:pPr>
        <w:ind w:left="2" w:right="120"/>
        <w:spacing w:after="0" w:line="257" w:lineRule="auto"/>
        <w:rPr>
          <w:sz w:val="20"/>
          <w:szCs w:val="20"/>
          <w:color w:val="auto"/>
        </w:rPr>
      </w:pPr>
      <w:r>
        <w:rPr>
          <w:rFonts w:ascii="Times New Roman" w:cs="Times New Roman" w:eastAsia="Times New Roman" w:hAnsi="Times New Roman"/>
          <w:sz w:val="19"/>
          <w:szCs w:val="19"/>
          <w:i w:val="1"/>
          <w:iCs w:val="1"/>
          <w:color w:val="231F20"/>
        </w:rPr>
        <w:t>We are providing the following summary of the risk factors contained in this Annual Report on Form 10- 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82" w:lineRule="exact"/>
        <w:rPr>
          <w:sz w:val="20"/>
          <w:szCs w:val="20"/>
          <w:color w:val="auto"/>
        </w:rPr>
      </w:pPr>
    </w:p>
    <w:p>
      <w:pPr>
        <w:ind w:left="342" w:right="760" w:hanging="341"/>
        <w:spacing w:after="0" w:line="288"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We are a clinical-stage biotechnology company with a history of losses, and we expect to continue to incur losses for the foreseeable future, and we may never achieve or maintain profitability.</w:t>
      </w:r>
    </w:p>
    <w:p>
      <w:pPr>
        <w:spacing w:after="0" w:line="51" w:lineRule="exact"/>
        <w:rPr>
          <w:rFonts w:ascii="Arial" w:cs="Arial" w:eastAsia="Arial" w:hAnsi="Arial"/>
          <w:sz w:val="19"/>
          <w:szCs w:val="19"/>
          <w:color w:val="231F20"/>
        </w:rPr>
      </w:pPr>
    </w:p>
    <w:p>
      <w:pPr>
        <w:ind w:left="342" w:hanging="341"/>
        <w:spacing w:after="0"/>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We will require substantial additional funding, which may not be available on acceptable terms, or at all.</w:t>
      </w:r>
    </w:p>
    <w:p>
      <w:pPr>
        <w:spacing w:after="0" w:line="132" w:lineRule="exact"/>
        <w:rPr>
          <w:rFonts w:ascii="Arial" w:cs="Arial" w:eastAsia="Arial" w:hAnsi="Arial"/>
          <w:sz w:val="19"/>
          <w:szCs w:val="19"/>
          <w:color w:val="231F20"/>
        </w:rPr>
      </w:pPr>
    </w:p>
    <w:p>
      <w:pPr>
        <w:ind w:left="342" w:right="220" w:hanging="341"/>
        <w:spacing w:after="0" w:line="288"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Our management has broad discretion over the use of proceeds received from sales of our securities and our collaborations with third parties and the proceeds may not be used effectively.</w:t>
      </w:r>
    </w:p>
    <w:p>
      <w:pPr>
        <w:spacing w:after="0" w:line="51" w:lineRule="exact"/>
        <w:rPr>
          <w:rFonts w:ascii="Arial" w:cs="Arial" w:eastAsia="Arial" w:hAnsi="Arial"/>
          <w:sz w:val="19"/>
          <w:szCs w:val="19"/>
          <w:color w:val="231F20"/>
        </w:rPr>
      </w:pPr>
    </w:p>
    <w:p>
      <w:pPr>
        <w:ind w:left="342" w:right="120" w:hanging="341"/>
        <w:spacing w:after="0" w:line="288"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Our operating history as a clinical-stage biotechnology company may make it difficult for shareholders to evaluate the success of our business to date and to assess our future viability.</w:t>
      </w:r>
    </w:p>
    <w:p>
      <w:pPr>
        <w:spacing w:after="0" w:line="51" w:lineRule="exact"/>
        <w:rPr>
          <w:rFonts w:ascii="Arial" w:cs="Arial" w:eastAsia="Arial" w:hAnsi="Arial"/>
          <w:sz w:val="19"/>
          <w:szCs w:val="19"/>
          <w:color w:val="231F20"/>
        </w:rPr>
      </w:pPr>
    </w:p>
    <w:p>
      <w:pPr>
        <w:ind w:left="342" w:hanging="341"/>
        <w:spacing w:after="0"/>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The approach we are taking to discover and develop RNA medicines is novel and may never lead to marketable products.</w:t>
      </w:r>
    </w:p>
    <w:p>
      <w:pPr>
        <w:spacing w:after="0" w:line="134" w:lineRule="exact"/>
        <w:rPr>
          <w:rFonts w:ascii="Arial" w:cs="Arial" w:eastAsia="Arial" w:hAnsi="Arial"/>
          <w:sz w:val="19"/>
          <w:szCs w:val="19"/>
          <w:color w:val="231F20"/>
        </w:rPr>
      </w:pPr>
    </w:p>
    <w:p>
      <w:pPr>
        <w:ind w:left="342" w:right="160" w:hanging="341"/>
        <w:spacing w:after="0" w:line="285"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not be able to conduct clinical trials successfully due to various process-related factors that could negatively impact our business plans.</w:t>
      </w:r>
    </w:p>
    <w:p>
      <w:pPr>
        <w:spacing w:after="0" w:line="55" w:lineRule="exact"/>
        <w:rPr>
          <w:rFonts w:ascii="Arial" w:cs="Arial" w:eastAsia="Arial" w:hAnsi="Arial"/>
          <w:sz w:val="19"/>
          <w:szCs w:val="19"/>
          <w:color w:val="231F20"/>
        </w:rPr>
      </w:pPr>
    </w:p>
    <w:p>
      <w:pPr>
        <w:ind w:left="342" w:right="280" w:hanging="341"/>
        <w:spacing w:after="0" w:line="266"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73" w:lineRule="exact"/>
        <w:rPr>
          <w:rFonts w:ascii="Arial" w:cs="Arial" w:eastAsia="Arial" w:hAnsi="Arial"/>
          <w:sz w:val="19"/>
          <w:szCs w:val="19"/>
          <w:color w:val="231F20"/>
        </w:rPr>
      </w:pPr>
    </w:p>
    <w:p>
      <w:pPr>
        <w:ind w:left="342" w:hanging="342"/>
        <w:spacing w:after="0"/>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Results of preclinical studies and early clinical trials may not be predictive of results of subsequent clinical trials.</w:t>
      </w:r>
    </w:p>
    <w:p>
      <w:pPr>
        <w:spacing w:after="0" w:line="132" w:lineRule="exact"/>
        <w:rPr>
          <w:rFonts w:ascii="Arial" w:cs="Arial" w:eastAsia="Arial" w:hAnsi="Arial"/>
          <w:sz w:val="19"/>
          <w:szCs w:val="19"/>
          <w:color w:val="231F20"/>
        </w:rPr>
      </w:pPr>
    </w:p>
    <w:p>
      <w:pPr>
        <w:ind w:left="342" w:right="100" w:hanging="342"/>
        <w:spacing w:after="0" w:line="288"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If we experience delays or difficulties in the enrollment of patients in clinical trials, our receipt of necessary regulatory approvals could be delayed or prevented.</w:t>
      </w:r>
    </w:p>
    <w:p>
      <w:pPr>
        <w:spacing w:after="0" w:line="51" w:lineRule="exact"/>
        <w:rPr>
          <w:rFonts w:ascii="Arial" w:cs="Arial" w:eastAsia="Arial" w:hAnsi="Arial"/>
          <w:sz w:val="19"/>
          <w:szCs w:val="19"/>
          <w:color w:val="231F20"/>
        </w:rPr>
      </w:pPr>
    </w:p>
    <w:p>
      <w:pPr>
        <w:ind w:left="342" w:right="740" w:hanging="342"/>
        <w:spacing w:after="0" w:line="288"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be unable to obtain regulatory approval in the United States or foreign jurisdictions and, as a result, be unable to commercialize our product candidates and our ability to generate revenue will be materially impaired.</w:t>
      </w:r>
    </w:p>
    <w:p>
      <w:pPr>
        <w:spacing w:after="0" w:line="51" w:lineRule="exact"/>
        <w:rPr>
          <w:rFonts w:ascii="Arial" w:cs="Arial" w:eastAsia="Arial" w:hAnsi="Arial"/>
          <w:sz w:val="19"/>
          <w:szCs w:val="19"/>
          <w:color w:val="231F20"/>
        </w:rPr>
      </w:pPr>
    </w:p>
    <w:p>
      <w:pPr>
        <w:ind w:left="342" w:right="660" w:hanging="342"/>
        <w:spacing w:after="0" w:line="265"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Even if we obtain regulatory approvals, our marketed drugs will be subject to ongoing regulatory oversight. If we or our collaborators fail to comply with continuing U.S. and foreign requirements, our approvals, if obtained, could be limited or withdrawn, we could be subject to other penalties, and our business would be seriously harmed.</w:t>
      </w:r>
    </w:p>
    <w:p>
      <w:pPr>
        <w:spacing w:after="0" w:line="73" w:lineRule="exact"/>
        <w:rPr>
          <w:rFonts w:ascii="Arial" w:cs="Arial" w:eastAsia="Arial" w:hAnsi="Arial"/>
          <w:sz w:val="19"/>
          <w:szCs w:val="19"/>
          <w:color w:val="231F20"/>
        </w:rPr>
      </w:pPr>
    </w:p>
    <w:p>
      <w:pPr>
        <w:ind w:left="342" w:right="140" w:hanging="342"/>
        <w:spacing w:after="0" w:line="288"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The pharmaceutical industry is intensely competitive. If we are unable to compete effectively with existing drugs, new treatment methods and new technologies, we may be unable to successfully commercialize any drugs that we develop.</w:t>
      </w:r>
    </w:p>
    <w:p>
      <w:pPr>
        <w:spacing w:after="0" w:line="52" w:lineRule="exact"/>
        <w:rPr>
          <w:rFonts w:ascii="Arial" w:cs="Arial" w:eastAsia="Arial" w:hAnsi="Arial"/>
          <w:sz w:val="19"/>
          <w:szCs w:val="19"/>
          <w:color w:val="231F20"/>
        </w:rPr>
      </w:pPr>
    </w:p>
    <w:p>
      <w:pPr>
        <w:ind w:left="342" w:right="120" w:hanging="342"/>
        <w:spacing w:after="0" w:line="288"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Risks associated with our operations outside of the United States and developments in international trade by the U.S. and foreign governments could adversely affect our business.</w:t>
      </w:r>
    </w:p>
    <w:p>
      <w:pPr>
        <w:spacing w:after="0" w:line="49" w:lineRule="exact"/>
        <w:rPr>
          <w:rFonts w:ascii="Arial" w:cs="Arial" w:eastAsia="Arial" w:hAnsi="Arial"/>
          <w:sz w:val="19"/>
          <w:szCs w:val="19"/>
          <w:color w:val="231F20"/>
        </w:rPr>
      </w:pPr>
    </w:p>
    <w:p>
      <w:pPr>
        <w:ind w:left="342" w:right="240" w:hanging="342"/>
        <w:spacing w:after="0" w:line="266"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We, or third parties upon whom we depend, may face risks related to natural disasters and/or local and global health epidemics, which may delay our ability to complete our ongoing clinical trials, initiate additional clinical trials, delay regulatory activities and have other adverse effects on our business and operations.</w:t>
      </w:r>
    </w:p>
    <w:p>
      <w:pPr>
        <w:spacing w:after="0" w:line="73" w:lineRule="exact"/>
        <w:rPr>
          <w:rFonts w:ascii="Arial" w:cs="Arial" w:eastAsia="Arial" w:hAnsi="Arial"/>
          <w:sz w:val="19"/>
          <w:szCs w:val="19"/>
          <w:color w:val="231F20"/>
        </w:rPr>
      </w:pPr>
    </w:p>
    <w:p>
      <w:pPr>
        <w:ind w:left="342" w:hanging="342"/>
        <w:spacing w:after="0" w:line="266" w:lineRule="auto"/>
        <w:tabs>
          <w:tab w:leader="none" w:pos="342"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color w:val="231F20"/>
        </w:rPr>
        <w:t>4</w:t>
      </w:r>
    </w:p>
    <w:p>
      <w:pPr>
        <w:sectPr>
          <w:pgSz w:w="11880" w:h="15480" w:orient="portrait"/>
          <w:cols w:equalWidth="0" w:num="1">
            <w:col w:w="10482"/>
          </w:cols>
          <w:pgMar w:left="698" w:top="963" w:right="700" w:bottom="213" w:gutter="0" w:footer="0" w:header="0"/>
        </w:sectPr>
      </w:pPr>
    </w:p>
    <w:bookmarkStart w:id="10" w:name="page11"/>
    <w:bookmarkEnd w:id="10"/>
    <w:p>
      <w:pPr>
        <w:ind w:left="341" w:right="20" w:hanging="340"/>
        <w:spacing w:after="0" w:line="265"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We rely, and expect to continue to rely, on third parties to conduct some aspects of our compound formulation, research, preclinical studies and clinical trials, and those third parties may not perform satisfactorily, including failing to meet deadlines for the completion of such formulation, research or testing.</w:t>
      </w:r>
    </w:p>
    <w:p>
      <w:pPr>
        <w:spacing w:after="0" w:line="73" w:lineRule="exact"/>
        <w:rPr>
          <w:rFonts w:ascii="Arial" w:cs="Arial" w:eastAsia="Arial" w:hAnsi="Arial"/>
          <w:sz w:val="19"/>
          <w:szCs w:val="19"/>
          <w:color w:val="231F20"/>
        </w:rPr>
      </w:pPr>
    </w:p>
    <w:p>
      <w:pPr>
        <w:ind w:left="341" w:hanging="340"/>
        <w:spacing w:after="0" w:line="266"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3" w:lineRule="exact"/>
        <w:rPr>
          <w:rFonts w:ascii="Arial" w:cs="Arial" w:eastAsia="Arial" w:hAnsi="Arial"/>
          <w:sz w:val="19"/>
          <w:szCs w:val="19"/>
          <w:color w:val="231F20"/>
        </w:rPr>
      </w:pPr>
    </w:p>
    <w:p>
      <w:pPr>
        <w:ind w:left="341" w:right="560" w:hanging="340"/>
        <w:spacing w:after="0" w:line="285"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If we are unable to attract and retain qualified key management and scientists, staff, consultants and advisors, our ability to implement our business plan may be adversely affected.</w:t>
      </w:r>
    </w:p>
    <w:p>
      <w:pPr>
        <w:spacing w:after="0" w:line="55" w:lineRule="exact"/>
        <w:rPr>
          <w:rFonts w:ascii="Arial" w:cs="Arial" w:eastAsia="Arial" w:hAnsi="Arial"/>
          <w:sz w:val="19"/>
          <w:szCs w:val="19"/>
          <w:color w:val="231F20"/>
        </w:rPr>
      </w:pPr>
    </w:p>
    <w:p>
      <w:pPr>
        <w:ind w:left="341" w:right="800" w:hanging="340"/>
        <w:spacing w:after="0" w:line="288"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If we are not able to obtain and enforce market exclusivity for our technologies or product candidates, development and commercialization of our product candidates may be adversely affected.</w:t>
      </w:r>
    </w:p>
    <w:p>
      <w:pPr>
        <w:spacing w:after="0" w:line="51" w:lineRule="exact"/>
        <w:rPr>
          <w:rFonts w:ascii="Arial" w:cs="Arial" w:eastAsia="Arial" w:hAnsi="Arial"/>
          <w:sz w:val="19"/>
          <w:szCs w:val="19"/>
          <w:color w:val="231F20"/>
        </w:rPr>
      </w:pPr>
    </w:p>
    <w:p>
      <w:pPr>
        <w:ind w:left="341" w:right="120" w:hanging="340"/>
        <w:spacing w:after="0" w:line="265"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73" w:lineRule="exact"/>
        <w:rPr>
          <w:rFonts w:ascii="Arial" w:cs="Arial" w:eastAsia="Arial" w:hAnsi="Arial"/>
          <w:sz w:val="19"/>
          <w:szCs w:val="19"/>
          <w:color w:val="231F20"/>
        </w:rPr>
      </w:pPr>
    </w:p>
    <w:p>
      <w:pPr>
        <w:ind w:left="341" w:right="360" w:hanging="340"/>
        <w:spacing w:after="0" w:line="288"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Other companies or organizations may challenge our or our licensors’ patent rights or may assert patent rights that prevent us from developing and commercializing our products.</w:t>
      </w:r>
    </w:p>
    <w:p>
      <w:pPr>
        <w:spacing w:after="0" w:line="51" w:lineRule="exact"/>
        <w:rPr>
          <w:rFonts w:ascii="Arial" w:cs="Arial" w:eastAsia="Arial" w:hAnsi="Arial"/>
          <w:sz w:val="19"/>
          <w:szCs w:val="19"/>
          <w:color w:val="231F20"/>
        </w:rPr>
      </w:pPr>
    </w:p>
    <w:p>
      <w:pPr>
        <w:ind w:left="341" w:right="360" w:hanging="340"/>
        <w:spacing w:after="0" w:line="266"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 or at all.</w:t>
      </w:r>
    </w:p>
    <w:p>
      <w:pPr>
        <w:spacing w:after="0" w:line="71" w:lineRule="exact"/>
        <w:rPr>
          <w:rFonts w:ascii="Arial" w:cs="Arial" w:eastAsia="Arial" w:hAnsi="Arial"/>
          <w:sz w:val="19"/>
          <w:szCs w:val="19"/>
          <w:color w:val="231F20"/>
        </w:rPr>
      </w:pPr>
    </w:p>
    <w:p>
      <w:pPr>
        <w:ind w:left="341" w:right="140" w:hanging="341"/>
        <w:spacing w:after="0" w:line="288"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We are incorporated in Singapore and our shareholders may have more difficulty in protecting their interests than they would as shareholders of a corporation incorporated in the United States.</w:t>
      </w:r>
    </w:p>
    <w:p>
      <w:pPr>
        <w:spacing w:after="0" w:line="51" w:lineRule="exact"/>
        <w:rPr>
          <w:rFonts w:ascii="Arial" w:cs="Arial" w:eastAsia="Arial" w:hAnsi="Arial"/>
          <w:sz w:val="19"/>
          <w:szCs w:val="19"/>
          <w:color w:val="231F20"/>
        </w:rPr>
      </w:pPr>
    </w:p>
    <w:p>
      <w:pPr>
        <w:ind w:left="341" w:hanging="341"/>
        <w:spacing w:after="0"/>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We are subject to the laws of Singapore, which differ in certain material respects from the laws of the United States.</w:t>
      </w:r>
    </w:p>
    <w:p>
      <w:pPr>
        <w:spacing w:after="0" w:line="134" w:lineRule="exact"/>
        <w:rPr>
          <w:rFonts w:ascii="Arial" w:cs="Arial" w:eastAsia="Arial" w:hAnsi="Arial"/>
          <w:sz w:val="19"/>
          <w:szCs w:val="19"/>
          <w:color w:val="231F20"/>
        </w:rPr>
      </w:pPr>
    </w:p>
    <w:p>
      <w:pPr>
        <w:ind w:left="341" w:hanging="341"/>
        <w:spacing w:after="0"/>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The public market may not be liquid enough for our shareholders to sell their ordinary shares quickly or at market price, or at all.</w:t>
      </w:r>
    </w:p>
    <w:p>
      <w:pPr>
        <w:spacing w:after="0" w:line="134" w:lineRule="exact"/>
        <w:rPr>
          <w:rFonts w:ascii="Arial" w:cs="Arial" w:eastAsia="Arial" w:hAnsi="Arial"/>
          <w:sz w:val="19"/>
          <w:szCs w:val="19"/>
          <w:color w:val="231F20"/>
        </w:rPr>
      </w:pPr>
    </w:p>
    <w:p>
      <w:pPr>
        <w:ind w:left="341" w:right="740" w:hanging="341"/>
        <w:spacing w:after="0" w:line="285" w:lineRule="auto"/>
        <w:tabs>
          <w:tab w:leader="none" w:pos="341"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The market price of our ordinary shares is likely to be highly volatile, and our shareholders may lose some or all of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5</w:t>
      </w:r>
    </w:p>
    <w:p>
      <w:pPr>
        <w:sectPr>
          <w:pgSz w:w="11880" w:h="15480" w:orient="portrait"/>
          <w:cols w:equalWidth="0" w:num="1">
            <w:col w:w="10441"/>
          </w:cols>
          <w:pgMar w:left="699" w:top="977" w:right="740" w:bottom="213"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b w:val="1"/>
          <w:bCs w:val="1"/>
          <w:color w:val="231F20"/>
        </w:rPr>
        <w:t>PART I</w:t>
      </w:r>
    </w:p>
    <w:p>
      <w:pPr>
        <w:spacing w:after="0" w:line="235" w:lineRule="exact"/>
        <w:rPr>
          <w:sz w:val="20"/>
          <w:szCs w:val="20"/>
          <w:color w:val="auto"/>
        </w:rPr>
      </w:pPr>
    </w:p>
    <w:p>
      <w:pPr>
        <w:ind w:left="1"/>
        <w:spacing w:after="0"/>
        <w:tabs>
          <w:tab w:leader="none" w:pos="960" w:val="left"/>
        </w:tabs>
        <w:rPr>
          <w:sz w:val="20"/>
          <w:szCs w:val="20"/>
          <w:color w:val="auto"/>
        </w:rPr>
      </w:pPr>
      <w:r>
        <w:rPr>
          <w:rFonts w:ascii="Times New Roman" w:cs="Times New Roman" w:eastAsia="Times New Roman" w:hAnsi="Times New Roman"/>
          <w:sz w:val="19"/>
          <w:szCs w:val="19"/>
          <w:b w:val="1"/>
          <w:bCs w:val="1"/>
          <w:color w:val="231F20"/>
        </w:rPr>
        <w:t>Item 1.</w:t>
      </w:r>
      <w:r>
        <w:rPr>
          <w:sz w:val="20"/>
          <w:szCs w:val="20"/>
          <w:color w:val="auto"/>
        </w:rPr>
        <w:tab/>
      </w:r>
      <w:r>
        <w:rPr>
          <w:rFonts w:ascii="Times New Roman" w:cs="Times New Roman" w:eastAsia="Times New Roman" w:hAnsi="Times New Roman"/>
          <w:sz w:val="19"/>
          <w:szCs w:val="19"/>
          <w:b w:val="1"/>
          <w:bCs w:val="1"/>
          <w:color w:val="231F20"/>
        </w:rPr>
        <w:t>Business</w:t>
      </w:r>
    </w:p>
    <w:p>
      <w:pPr>
        <w:spacing w:after="0" w:line="2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color w:val="231F20"/>
        </w:rPr>
        <w:t>Overview</w:t>
      </w:r>
    </w:p>
    <w:p>
      <w:pPr>
        <w:spacing w:after="0" w:line="240" w:lineRule="exact"/>
        <w:rPr>
          <w:sz w:val="20"/>
          <w:szCs w:val="20"/>
          <w:color w:val="auto"/>
        </w:rPr>
      </w:pPr>
    </w:p>
    <w:p>
      <w:pPr>
        <w:ind w:left="1"/>
        <w:spacing w:after="0" w:line="237" w:lineRule="auto"/>
        <w:rPr>
          <w:sz w:val="20"/>
          <w:szCs w:val="20"/>
          <w:color w:val="auto"/>
        </w:rPr>
      </w:pPr>
      <w:r>
        <w:rPr>
          <w:rFonts w:ascii="Times New Roman" w:cs="Times New Roman" w:eastAsia="Times New Roman" w:hAnsi="Times New Roman"/>
          <w:sz w:val="19"/>
          <w:szCs w:val="19"/>
          <w:color w:val="231F20"/>
        </w:rPr>
        <w:t>We are a clinical-stage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19"/>
          <w:szCs w:val="19"/>
          <w:color w:val="231F20"/>
        </w:rPr>
        <w:t>, combines multiple modalities, chemistry innovation and deep insights into human genetics to deliver scientific breakthroughs that treat both rare and common disorders. Our toolkit of RNA-targeting modalities, including RNAi (SpiNA) and RNA editing (AIMers), provides us with unmatched capabilities for designing and sustainably delivering candidates that optimally address disease biology. Our pipeline is focused on our obesity (WVE-007), alpha-1 antitrypsin deficiency (“AATD”) (WVE-006) and PNPLA3 I148M liver disease (WVE-</w:t>
      </w:r>
    </w:p>
    <w:p>
      <w:pPr>
        <w:spacing w:after="0" w:line="5" w:lineRule="exact"/>
        <w:rPr>
          <w:sz w:val="20"/>
          <w:szCs w:val="20"/>
          <w:color w:val="auto"/>
        </w:rPr>
      </w:pPr>
    </w:p>
    <w:p>
      <w:pPr>
        <w:ind w:left="1" w:right="120" w:hanging="1"/>
        <w:spacing w:after="0" w:line="258" w:lineRule="auto"/>
        <w:tabs>
          <w:tab w:leader="none" w:pos="405" w:val="left"/>
        </w:tabs>
        <w:numPr>
          <w:ilvl w:val="0"/>
          <w:numId w:val="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programs, and also includes clinical programs for Duchenne muscular dystrophy (“DMD”) and Huntington’s disease (“HD”), as well as several preclinical programs utilizing our versatile RNA medicines platform.</w:t>
      </w:r>
    </w:p>
    <w:p>
      <w:pPr>
        <w:spacing w:after="0" w:line="66" w:lineRule="exact"/>
        <w:rPr>
          <w:sz w:val="20"/>
          <w:szCs w:val="20"/>
          <w:color w:val="auto"/>
        </w:rPr>
      </w:pPr>
    </w:p>
    <w:p>
      <w:pPr>
        <w:ind w:left="1"/>
        <w:spacing w:after="0" w:line="252" w:lineRule="auto"/>
        <w:rPr>
          <w:sz w:val="20"/>
          <w:szCs w:val="20"/>
          <w:color w:val="auto"/>
        </w:rPr>
      </w:pPr>
      <w:r>
        <w:rPr>
          <w:rFonts w:ascii="Times New Roman" w:cs="Times New Roman" w:eastAsia="Times New Roman" w:hAnsi="Times New Roman"/>
          <w:sz w:val="19"/>
          <w:szCs w:val="19"/>
          <w:color w:val="231F20"/>
        </w:rPr>
        <w:t>We were founded on the recognition that there was a significant, untapped opportunity to use chemistry innovation to tune the pharmacological properties of oligonucleotides. We have more than a decade of experience challenging convention related to oligonucleotide design and pioneering novel chemistry modifications to optimize the pharmacological properties of our molecules. We have seen in clinical trials that these chemistry modifications enhance potency, distribution, and durability of effect of our molecules. Our novel chemistry also allows us to avoid using complex delivery vehicles, such as lipid nanoparticles and viruses, and instead use clinically proven conjugates (</w:t>
      </w:r>
      <w:r>
        <w:rPr>
          <w:rFonts w:ascii="Times New Roman" w:cs="Times New Roman" w:eastAsia="Times New Roman" w:hAnsi="Times New Roman"/>
          <w:sz w:val="19"/>
          <w:szCs w:val="19"/>
          <w:i w:val="1"/>
          <w:iCs w:val="1"/>
          <w:color w:val="231F20"/>
        </w:rPr>
        <w:t>e.g., N</w:t>
      </w:r>
      <w:r>
        <w:rPr>
          <w:rFonts w:ascii="Times New Roman" w:cs="Times New Roman" w:eastAsia="Times New Roman" w:hAnsi="Times New Roman"/>
          <w:sz w:val="19"/>
          <w:szCs w:val="19"/>
          <w:color w:val="231F20"/>
        </w:rPr>
        <w:t>- acetylgalactosamine or (“GalNAc”)) or free uptake for delivery to a variety of cell and tissue types. We maintain strong and broad intellectual property, including for our novel chemistry modifications.</w:t>
      </w:r>
    </w:p>
    <w:p>
      <w:pPr>
        <w:spacing w:after="0" w:line="73" w:lineRule="exact"/>
        <w:rPr>
          <w:sz w:val="20"/>
          <w:szCs w:val="20"/>
          <w:color w:val="auto"/>
        </w:rPr>
      </w:pPr>
    </w:p>
    <w:p>
      <w:pPr>
        <w:ind w:left="1" w:right="140"/>
        <w:spacing w:after="0" w:line="259" w:lineRule="auto"/>
        <w:rPr>
          <w:sz w:val="20"/>
          <w:szCs w:val="20"/>
          <w:color w:val="auto"/>
        </w:rPr>
      </w:pPr>
      <w:r>
        <w:rPr>
          <w:rFonts w:ascii="Times New Roman" w:cs="Times New Roman" w:eastAsia="Times New Roman" w:hAnsi="Times New Roman"/>
          <w:sz w:val="19"/>
          <w:szCs w:val="19"/>
          <w:color w:val="231F20"/>
        </w:rPr>
        <w:t>Our best-in-class chemistry capabilities have also unlocked new areas of biology, such as harnessing adenosine deaminases acting on RNA (“ADAR”) enzymes for messenger RNA (“mRNA”) correction and upregulation, selectively silencing a mutant allele, and more. By opening up new areas of biology, we have also opened up new opportunities to slow, stop, or reverse disease and have expanded the possibilities offered through our platform.</w:t>
      </w:r>
    </w:p>
    <w:p>
      <w:pPr>
        <w:spacing w:after="0" w:line="65" w:lineRule="exact"/>
        <w:rPr>
          <w:sz w:val="20"/>
          <w:szCs w:val="20"/>
          <w:color w:val="auto"/>
        </w:rPr>
      </w:pPr>
    </w:p>
    <w:p>
      <w:pPr>
        <w:ind w:left="1" w:right="120" w:firstLine="1"/>
        <w:spacing w:after="0" w:line="252" w:lineRule="auto"/>
        <w:rPr>
          <w:sz w:val="20"/>
          <w:szCs w:val="20"/>
          <w:color w:val="auto"/>
        </w:rPr>
      </w:pPr>
      <w:r>
        <w:rPr>
          <w:rFonts w:ascii="Times New Roman" w:cs="Times New Roman" w:eastAsia="Times New Roman" w:hAnsi="Times New Roman"/>
          <w:sz w:val="19"/>
          <w:szCs w:val="19"/>
          <w:color w:val="231F20"/>
        </w:rPr>
        <w:t xml:space="preserve">The inspiration for our multimodal platform is based on the recognition that the biological machinery </w:t>
      </w:r>
      <w:r>
        <w:rPr>
          <w:rFonts w:ascii="Times New Roman" w:cs="Times New Roman" w:eastAsia="Times New Roman" w:hAnsi="Times New Roman"/>
          <w:sz w:val="19"/>
          <w:szCs w:val="19"/>
          <w:i w:val="1"/>
          <w:iCs w:val="1"/>
          <w:color w:val="231F20"/>
        </w:rPr>
        <w:t>(i.e.,</w:t>
      </w:r>
      <w:r>
        <w:rPr>
          <w:rFonts w:ascii="Times New Roman" w:cs="Times New Roman" w:eastAsia="Times New Roman" w:hAnsi="Times New Roman"/>
          <w:sz w:val="19"/>
          <w:szCs w:val="19"/>
          <w:color w:val="231F20"/>
        </w:rPr>
        <w:t xml:space="preserve"> enzymes) needed to address human disease already exists within our cells and can be harnessed for therapeutic purposes with the right tools. We believe that we have built the most versatile toolkit of RNA-targeting modalities in the industry, with multiple means of repairing, restoring, or reducing proteins and designing best-fit solutions based on the unique biology of a given disease target. We are actively advancing programs across modalities, including RNA interference (“RNAi”) (silencing), RNA editing, which uses novel A-to-I RNA editing oligonucleotides (“AIMers”), antisense silencing, and splicing. We have also advanced novel bifunctional modalities designed to silence multiple targets or silence one target while simultaneously editing or upregulating another unique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6652260" cy="3018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652260" cy="3018790"/>
                    </a:xfrm>
                    <a:prstGeom prst="rect">
                      <a:avLst/>
                    </a:prstGeom>
                    <a:noFill/>
                  </pic:spPr>
                </pic:pic>
              </a:graphicData>
            </a:graphic>
          </wp:anchor>
        </w:drawing>
      </w:r>
    </w:p>
    <w:p>
      <w:pPr>
        <w:sectPr>
          <w:pgSz w:w="11880" w:h="15480" w:orient="portrait"/>
          <w:cols w:equalWidth="0" w:num="1">
            <w:col w:w="10481"/>
          </w:cols>
          <w:pgMar w:left="699" w:top="961" w:right="70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6</w:t>
      </w:r>
    </w:p>
    <w:p>
      <w:pPr>
        <w:sectPr>
          <w:pgSz w:w="11880" w:h="15480" w:orient="portrait"/>
          <w:cols w:equalWidth="0" w:num="1">
            <w:col w:w="10481"/>
          </w:cols>
          <w:pgMar w:left="699" w:top="961" w:right="700" w:bottom="213" w:gutter="0" w:footer="0" w:header="0"/>
          <w:type w:val="continuous"/>
        </w:sectPr>
      </w:pPr>
    </w:p>
    <w:bookmarkStart w:id="12" w:name="page13"/>
    <w:bookmarkEnd w:id="12"/>
    <w:p>
      <w:pPr>
        <w:ind w:right="300"/>
        <w:spacing w:after="0" w:line="286" w:lineRule="auto"/>
        <w:rPr>
          <w:sz w:val="20"/>
          <w:szCs w:val="20"/>
          <w:color w:val="auto"/>
        </w:rPr>
      </w:pPr>
      <w:r>
        <w:rPr>
          <w:rFonts w:ascii="Times New Roman" w:cs="Times New Roman" w:eastAsia="Times New Roman" w:hAnsi="Times New Roman"/>
          <w:sz w:val="19"/>
          <w:szCs w:val="19"/>
          <w:color w:val="231F20"/>
        </w:rPr>
        <w:t>We intentionally focus on targeting the transcriptome using oligonucleotides rather than other nucleic acid modalities such as gene therapy and DNA editing. This focus enables us to:</w:t>
      </w:r>
    </w:p>
    <w:p>
      <w:pPr>
        <w:spacing w:after="0" w:line="171" w:lineRule="exact"/>
        <w:rPr>
          <w:sz w:val="20"/>
          <w:szCs w:val="20"/>
          <w:color w:val="auto"/>
        </w:rPr>
      </w:pPr>
    </w:p>
    <w:p>
      <w:pPr>
        <w:ind w:left="800" w:right="880" w:hanging="340"/>
        <w:spacing w:after="0" w:line="288" w:lineRule="auto"/>
        <w:tabs>
          <w:tab w:leader="none" w:pos="800" w:val="left"/>
        </w:tabs>
        <w:numPr>
          <w:ilvl w:val="0"/>
          <w:numId w:val="6"/>
        </w:numPr>
        <w:rPr>
          <w:rFonts w:ascii="Arial" w:cs="Arial" w:eastAsia="Arial" w:hAnsi="Arial"/>
          <w:sz w:val="19"/>
          <w:szCs w:val="19"/>
          <w:color w:val="231F20"/>
        </w:rPr>
      </w:pPr>
      <w:r>
        <w:rPr>
          <w:rFonts w:ascii="Times New Roman" w:cs="Times New Roman" w:eastAsia="Times New Roman" w:hAnsi="Times New Roman"/>
          <w:sz w:val="19"/>
          <w:szCs w:val="19"/>
          <w:color w:val="231F20"/>
        </w:rPr>
        <w:t>Leverage diversity of expression across cell types by modulating the many regulatory pathways that impact gene expression, including transcription, endogenous RNAi pathways, splicing, and translation;</w:t>
      </w:r>
    </w:p>
    <w:p>
      <w:pPr>
        <w:spacing w:after="0" w:line="168" w:lineRule="exact"/>
        <w:rPr>
          <w:rFonts w:ascii="Arial" w:cs="Arial" w:eastAsia="Arial" w:hAnsi="Arial"/>
          <w:sz w:val="19"/>
          <w:szCs w:val="19"/>
          <w:color w:val="231F20"/>
        </w:rPr>
      </w:pPr>
    </w:p>
    <w:p>
      <w:pPr>
        <w:ind w:left="800" w:hanging="340"/>
        <w:spacing w:after="0"/>
        <w:tabs>
          <w:tab w:leader="none" w:pos="800" w:val="left"/>
        </w:tabs>
        <w:numPr>
          <w:ilvl w:val="0"/>
          <w:numId w:val="6"/>
        </w:numPr>
        <w:rPr>
          <w:rFonts w:ascii="Arial" w:cs="Arial" w:eastAsia="Arial" w:hAnsi="Arial"/>
          <w:sz w:val="19"/>
          <w:szCs w:val="19"/>
          <w:color w:val="231F20"/>
        </w:rPr>
      </w:pPr>
      <w:r>
        <w:rPr>
          <w:rFonts w:ascii="Times New Roman" w:cs="Times New Roman" w:eastAsia="Times New Roman" w:hAnsi="Times New Roman"/>
          <w:sz w:val="19"/>
          <w:szCs w:val="19"/>
          <w:color w:val="231F20"/>
        </w:rPr>
        <w:t>Address diseases that have historically been difficult to treat with small molecules or biologics;</w:t>
      </w:r>
    </w:p>
    <w:p>
      <w:pPr>
        <w:spacing w:after="0" w:line="250" w:lineRule="exact"/>
        <w:rPr>
          <w:rFonts w:ascii="Arial" w:cs="Arial" w:eastAsia="Arial" w:hAnsi="Arial"/>
          <w:sz w:val="19"/>
          <w:szCs w:val="19"/>
          <w:color w:val="231F20"/>
        </w:rPr>
      </w:pPr>
    </w:p>
    <w:p>
      <w:pPr>
        <w:ind w:left="800" w:right="840" w:hanging="340"/>
        <w:spacing w:after="0" w:line="288" w:lineRule="auto"/>
        <w:tabs>
          <w:tab w:leader="none" w:pos="800" w:val="left"/>
        </w:tabs>
        <w:numPr>
          <w:ilvl w:val="0"/>
          <w:numId w:val="6"/>
        </w:numPr>
        <w:rPr>
          <w:rFonts w:ascii="Arial" w:cs="Arial" w:eastAsia="Arial" w:hAnsi="Arial"/>
          <w:sz w:val="19"/>
          <w:szCs w:val="19"/>
          <w:color w:val="231F20"/>
        </w:rPr>
      </w:pPr>
      <w:r>
        <w:rPr>
          <w:rFonts w:ascii="Times New Roman" w:cs="Times New Roman" w:eastAsia="Times New Roman" w:hAnsi="Times New Roman"/>
          <w:sz w:val="19"/>
          <w:szCs w:val="19"/>
          <w:color w:val="231F20"/>
        </w:rPr>
        <w:t>Access a variety of tissue types or cell types throughout the body and modulate the frequency of dosing for broad distribution in tissues over time;</w:t>
      </w:r>
    </w:p>
    <w:p>
      <w:pPr>
        <w:spacing w:after="0" w:line="166" w:lineRule="exact"/>
        <w:rPr>
          <w:rFonts w:ascii="Arial" w:cs="Arial" w:eastAsia="Arial" w:hAnsi="Arial"/>
          <w:sz w:val="19"/>
          <w:szCs w:val="19"/>
          <w:color w:val="231F20"/>
        </w:rPr>
      </w:pPr>
    </w:p>
    <w:p>
      <w:pPr>
        <w:ind w:left="800" w:right="180" w:hanging="340"/>
        <w:spacing w:after="0" w:line="288" w:lineRule="auto"/>
        <w:tabs>
          <w:tab w:leader="none" w:pos="800" w:val="left"/>
        </w:tabs>
        <w:numPr>
          <w:ilvl w:val="0"/>
          <w:numId w:val="6"/>
        </w:numPr>
        <w:rPr>
          <w:rFonts w:ascii="Arial" w:cs="Arial" w:eastAsia="Arial" w:hAnsi="Arial"/>
          <w:sz w:val="19"/>
          <w:szCs w:val="19"/>
          <w:color w:val="231F20"/>
        </w:rPr>
      </w:pPr>
      <w:r>
        <w:rPr>
          <w:rFonts w:ascii="Times New Roman" w:cs="Times New Roman" w:eastAsia="Times New Roman" w:hAnsi="Times New Roman"/>
          <w:sz w:val="19"/>
          <w:szCs w:val="19"/>
          <w:color w:val="231F20"/>
        </w:rPr>
        <w:t>Avoid the risk of permanent off-target genetic changes and other challenges associated with DNA editing or gene therapy approaches; and</w:t>
      </w:r>
    </w:p>
    <w:p>
      <w:pPr>
        <w:spacing w:after="0" w:line="168" w:lineRule="exact"/>
        <w:rPr>
          <w:rFonts w:ascii="Arial" w:cs="Arial" w:eastAsia="Arial" w:hAnsi="Arial"/>
          <w:sz w:val="19"/>
          <w:szCs w:val="19"/>
          <w:color w:val="231F20"/>
        </w:rPr>
      </w:pPr>
    </w:p>
    <w:p>
      <w:pPr>
        <w:ind w:left="800" w:hanging="340"/>
        <w:spacing w:after="0"/>
        <w:tabs>
          <w:tab w:leader="none" w:pos="800" w:val="left"/>
        </w:tabs>
        <w:numPr>
          <w:ilvl w:val="0"/>
          <w:numId w:val="6"/>
        </w:numPr>
        <w:rPr>
          <w:rFonts w:ascii="Arial" w:cs="Arial" w:eastAsia="Arial" w:hAnsi="Arial"/>
          <w:sz w:val="19"/>
          <w:szCs w:val="19"/>
          <w:color w:val="231F20"/>
        </w:rPr>
      </w:pPr>
      <w:r>
        <w:rPr>
          <w:rFonts w:ascii="Times New Roman" w:cs="Times New Roman" w:eastAsia="Times New Roman" w:hAnsi="Times New Roman"/>
          <w:sz w:val="19"/>
          <w:szCs w:val="19"/>
          <w:color w:val="231F20"/>
        </w:rPr>
        <w:t>Leverage well-established industry manufacturing processes and regulatory, access, and reimbursement pathways.</w:t>
      </w:r>
    </w:p>
    <w:p>
      <w:pPr>
        <w:spacing w:after="0" w:line="23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231F20"/>
        </w:rPr>
        <w:t>We are currently prioritizing lead programs that use GalNAc delivery for hepatic and metabolic diseases, each of which have potential to translate powerful human genetic insights into potentially transformational RNA medicines:</w:t>
      </w:r>
    </w:p>
    <w:p>
      <w:pPr>
        <w:spacing w:after="0" w:line="165" w:lineRule="exact"/>
        <w:rPr>
          <w:sz w:val="20"/>
          <w:szCs w:val="20"/>
          <w:color w:val="auto"/>
        </w:rPr>
      </w:pPr>
    </w:p>
    <w:p>
      <w:pPr>
        <w:ind w:left="800" w:hanging="340"/>
        <w:spacing w:after="0"/>
        <w:tabs>
          <w:tab w:leader="none" w:pos="80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WVE-007 is a GalNAc-</w:t>
      </w:r>
      <w:r>
        <w:rPr>
          <w:rFonts w:ascii="PMingLiU" w:cs="PMingLiU" w:eastAsia="PMingLiU" w:hAnsi="PMingLiU"/>
          <w:sz w:val="19"/>
          <w:szCs w:val="19"/>
          <w:color w:val="231F20"/>
        </w:rPr>
        <w:t>FRQMXJDWHGVL51$6SL1$GHVLJQWDUJHWLQJLQKLELQ (³,1+%(´IRUREHVLW\</w:t>
      </w:r>
    </w:p>
    <w:p>
      <w:pPr>
        <w:spacing w:after="0" w:line="239" w:lineRule="exact"/>
        <w:rPr>
          <w:rFonts w:ascii="Arial" w:cs="Arial" w:eastAsia="Arial" w:hAnsi="Arial"/>
          <w:sz w:val="19"/>
          <w:szCs w:val="19"/>
          <w:color w:val="231F20"/>
        </w:rPr>
      </w:pPr>
    </w:p>
    <w:p>
      <w:pPr>
        <w:ind w:left="800" w:hanging="340"/>
        <w:spacing w:after="0"/>
        <w:tabs>
          <w:tab w:leader="none" w:pos="80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WVE-006 is a GalNAc-conjugated RNA editing oligonucleotide (AIMer) for AATD;</w:t>
      </w:r>
    </w:p>
    <w:p>
      <w:pPr>
        <w:spacing w:after="0" w:line="250" w:lineRule="exact"/>
        <w:rPr>
          <w:rFonts w:ascii="Arial" w:cs="Arial" w:eastAsia="Arial" w:hAnsi="Arial"/>
          <w:sz w:val="19"/>
          <w:szCs w:val="19"/>
          <w:color w:val="231F20"/>
        </w:rPr>
      </w:pPr>
    </w:p>
    <w:p>
      <w:pPr>
        <w:ind w:left="800" w:hanging="340"/>
        <w:spacing w:after="0"/>
        <w:tabs>
          <w:tab w:leader="none" w:pos="80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WVE-008 is a GalNAc-conjugated RNA editing oligonucleotide (AIMer) for PNPLA3 I148M liver disease.</w:t>
      </w:r>
    </w:p>
    <w:p>
      <w:pPr>
        <w:spacing w:after="0" w:line="237" w:lineRule="exact"/>
        <w:rPr>
          <w:sz w:val="20"/>
          <w:szCs w:val="20"/>
          <w:color w:val="auto"/>
        </w:rPr>
      </w:pPr>
    </w:p>
    <w:p>
      <w:pPr>
        <w:ind w:right="420" w:firstLine="1"/>
        <w:spacing w:after="0" w:line="259" w:lineRule="auto"/>
        <w:rPr>
          <w:sz w:val="20"/>
          <w:szCs w:val="20"/>
          <w:color w:val="auto"/>
        </w:rPr>
      </w:pPr>
      <w:r>
        <w:rPr>
          <w:rFonts w:ascii="Times New Roman" w:cs="Times New Roman" w:eastAsia="Times New Roman" w:hAnsi="Times New Roman"/>
          <w:sz w:val="19"/>
          <w:szCs w:val="19"/>
          <w:color w:val="231F20"/>
        </w:rPr>
        <w:t>Our clinical-stage portfolio also includes WVE-N531, an exon 53 splicing oligonucleotide for DMD, and WVE-003, an allele-selective oligonucleotide designed to lower mutant huntingtin (“mHTT”) protein and preserve healthy, wild-type huntingtin (“wtHTT”) protein. We are also advancing several emerging siRNA and RNA editing programs targeting both hepatic and extra-hepatic tissues.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6652260" cy="278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652260" cy="278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Additional details regarding our lead therapeutic programs are set forth below.</w:t>
      </w:r>
    </w:p>
    <w:p>
      <w:pPr>
        <w:sectPr>
          <w:pgSz w:w="11880" w:h="15480" w:orient="portrait"/>
          <w:cols w:equalWidth="0" w:num="1">
            <w:col w:w="10440"/>
          </w:cols>
          <w:pgMar w:left="700" w:top="963" w:right="74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w:t>
      </w:r>
    </w:p>
    <w:p>
      <w:pPr>
        <w:sectPr>
          <w:pgSz w:w="11880" w:h="15480" w:orient="portrait"/>
          <w:cols w:equalWidth="0" w:num="1">
            <w:col w:w="10440"/>
          </w:cols>
          <w:pgMar w:left="700" w:top="963" w:right="740" w:bottom="213"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i w:val="1"/>
          <w:iCs w:val="1"/>
          <w:u w:val="single" w:color="auto"/>
          <w:color w:val="231F20"/>
        </w:rPr>
        <w:t>Obesity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Background and Market Opportunity</w:t>
      </w:r>
    </w:p>
    <w:p>
      <w:pPr>
        <w:spacing w:after="0" w:line="1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231F20"/>
        </w:rPr>
        <w:t>Obesity is increasingly being recognized as a growing global epidemic. In the United States, an estimated 42% of the adult population is living with obesity, and there are an estimated 175 million people in the United States and Europe and over one billion people globally, living with obesity. Adults with obesity have higher risk for many serious health conditions, including heart disease, type 2 diabetes, and some forms of cancer; and obesity is estimated to cost the U.S. healthcare system almost $173 billion annually.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Current Treatments</w:t>
      </w:r>
    </w:p>
    <w:p>
      <w:pPr>
        <w:spacing w:after="0" w:line="10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9"/>
          <w:szCs w:val="19"/>
          <w:color w:val="231F20"/>
        </w:rPr>
        <w:t>There are two GLP-1 receptor agonists (“GLP-1s”) approved in the United States and the European Union (“EU”) for the treatment of obesity: Saxenda (liraglutide, Novo Nordisk) and Wegovy (semaglutide, Novo Nordisk). Tirzepatide (Eli Lilly), approved as Zepbound by the U.S. Food and Drug Administration (“FDA”) and as Mounjaro by the European Medicines Agency (“EMA”) in November 2023, is a GLP-1/GIP receptor agonist. Other FDA -approved therapies for obesity include Xenical (H2-Pharma, approved in the United States in 1999), Qsymia (Vivus, approved in the United States in 2012), and Contrave (Currax Pharmaceuticals, approved in the United States in 2014).</w:t>
      </w:r>
    </w:p>
    <w:p>
      <w:pPr>
        <w:spacing w:after="0" w:line="7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231F20"/>
        </w:rPr>
        <w:t>Although GLP-1s induce weight loss, there remains a substantial unmet need in obesity, as GLP-1s lead to weight loss at the expense of muscle mass. For instance, in a Phase 3 study of semaglutide, 34% of total weight loss was from loss of lean mass (King 2021), and in a Phase 3 study of tirzepatide, treatment led to an approximately 34% loss in fat mass and an approximately 11% loss in lean mass (Jastreboff 2022). GLP-1s have also been shown to suppress the general reward system and are associated with a poor tolerability profile, frequent (weekly) administration, and discontinuation rates up to 68%.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Our Obesity Program</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231F20"/>
        </w:rPr>
        <w:t>WVE-007 is a GalNAc-siRNA, that utilizes Wave’s proprietary design (“SpiNA”). WVE-007 is designed to silence INHBE mRNA to induce fat loss by stimulating lipolysis (fat breakdown) while preserving muscle mass to promote and maintain a healthy metabolic profile. Heterozygous INHBE loss-of-function (“LoF”) human carriers exhibit a healthy metabolic profile, including reduced waist-to-hip ratio and reduced odds of developing type 2 diabetes or coronary artery disease, and reduction of INHBE by 50% or more is expected to promote a healthy metabolic profile.</w:t>
      </w:r>
    </w:p>
    <w:p>
      <w:pPr>
        <w:spacing w:after="0" w:line="7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color w:val="231F20"/>
        </w:rPr>
        <w:t>In preclinical diet-induced obesity (“DIO”) mouse models, a single dose of our INHBE GalNAc- siRNA has demonstrated highly potent and durable INHBE silencing (and &gt;70% Activin E reductions), supporting once or twice a year subcutaneous dosing in humans. Weight loss was driven by visceral fat loss, and muscle mass was preserved in the mice, which is consistent with the profile of human INHBE LoF carriers. In DIO mice studies, a single dose of our INHBE GalNAc-siRNA led to a weight loss effect that was similar to daily subcutaneous injections of semaglutide for 28 days. We also observed a decrease in high fat diet- induced expansion of visceral adipose mass. This reduction of visceral fat mass was associated with significant shrinkage of adipocyte enlargement induced by a high fat diet compared with phosphate-buffered saline (“PBS”) treatment. Collectively, these results support the promotion of healthy adipose tissue with this mechanism of action, while muscle mass was preserved.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132715</wp:posOffset>
            </wp:positionV>
            <wp:extent cx="6209030" cy="2357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620903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6"/>
          <w:szCs w:val="16"/>
          <w:i w:val="1"/>
          <w:iCs w:val="1"/>
          <w:color w:val="231F20"/>
        </w:rPr>
        <w:t>Stats: (left, middle, right) Linear Mixed Effects ANOVA with post hoc comparisons of marginal treatment effects vs. PBS per timepoint (left) or per tissue (middle, right) * p &lt; 0.05</w:t>
      </w:r>
    </w:p>
    <w:p>
      <w:pPr>
        <w:sectPr>
          <w:pgSz w:w="11880" w:h="15480" w:orient="portrait"/>
          <w:cols w:equalWidth="0" w:num="1">
            <w:col w:w="10480"/>
          </w:cols>
          <w:pgMar w:left="700" w:top="967" w:right="70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8</w:t>
      </w:r>
    </w:p>
    <w:p>
      <w:pPr>
        <w:sectPr>
          <w:pgSz w:w="11880" w:h="15480" w:orient="portrait"/>
          <w:cols w:equalWidth="0" w:num="1">
            <w:col w:w="10480"/>
          </w:cols>
          <w:pgMar w:left="700" w:top="967" w:right="700" w:bottom="213" w:gutter="0" w:footer="0" w:header="0"/>
          <w:type w:val="continuous"/>
        </w:sectPr>
      </w:pPr>
    </w:p>
    <w:bookmarkStart w:id="14" w:name="page15"/>
    <w:bookmarkEnd w:id="14"/>
    <w:p>
      <w:pPr>
        <w:jc w:val="both"/>
        <w:ind w:right="40"/>
        <w:spacing w:after="0" w:line="266" w:lineRule="auto"/>
        <w:rPr>
          <w:sz w:val="20"/>
          <w:szCs w:val="20"/>
          <w:color w:val="auto"/>
        </w:rPr>
      </w:pPr>
      <w:r>
        <w:rPr>
          <w:rFonts w:ascii="Times New Roman" w:cs="Times New Roman" w:eastAsia="Times New Roman" w:hAnsi="Times New Roman"/>
          <w:sz w:val="19"/>
          <w:szCs w:val="19"/>
          <w:color w:val="231F20"/>
        </w:rPr>
        <w:t>In a head -to-head study in DIO mice, treatment with our INHBE GalNAc-siRNA prior to cessation of semaglutide treatment curtailed expected rebound weight gain. When administered as an add-on to semaglutide, a single dose of our INHBE GalNAc-siRNA doubled the weight loss observed with semaglutide alone, and this effect was sustained throughout the duration of the preclinical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652260" cy="2850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652260" cy="285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740"/>
        <w:spacing w:after="0" w:line="247" w:lineRule="auto"/>
        <w:rPr>
          <w:sz w:val="20"/>
          <w:szCs w:val="20"/>
          <w:color w:val="auto"/>
        </w:rPr>
      </w:pPr>
      <w:r>
        <w:rPr>
          <w:rFonts w:ascii="Times New Roman" w:cs="Times New Roman" w:eastAsia="Times New Roman" w:hAnsi="Times New Roman"/>
          <w:sz w:val="16"/>
          <w:szCs w:val="16"/>
          <w:i w:val="1"/>
          <w:iCs w:val="1"/>
          <w:color w:val="231F20"/>
        </w:rPr>
        <w:t>Left: 10 nmol/kg in mouse is equivalent to therapeutic dose of GLP-1s in human. Stats: Linear Mixed Effects ANOVA with post hoc comparisons of marginal treatment effects of Semaglutide vs. Semaglutide + INHBE GalNAc-siRNA per time point * p &lt; 0.05; Right Stats: Linear Mixed Effects ANOVA with post hoc comparison of Day 28 vs. Day 56 marginal effects per treatment * p &lt; 0.05</w:t>
      </w:r>
    </w:p>
    <w:p>
      <w:pPr>
        <w:spacing w:after="0" w:line="194"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9"/>
          <w:szCs w:val="19"/>
          <w:color w:val="231F20"/>
        </w:rPr>
        <w:t>In preclinical studies, we have also observed that infiltration of macrophages into visceral adipose was significantly decreased by a single dose of INHBE GalNAc-siRNA compared with PBS controls. INHBE GalNAc-siRNA also significantly reduced proinflammatory M1 macrophage (CD11c positive) while sustaining levels of anti-inflammatory M2 macrophages in visceral fat, indicating an overall shift away from a pro-inflammatory state. Further, RNA sequencing data from subcutaneous adipose tissue indicates that INHBE GalNAc-siRNA leads to the upregulation of genes promoting insulin sensitivity, fatty acid utilization and beiging of white adipose, while downregulating adipose inflammation and fibrosis pathways. RNA sequencing data from visceral adipose tissue demonstrate that our INHBE GalNAc-siRNA increased glucose and fatty acid utilization, and reduced inflammation and fibrosis in adipose tissue.</w:t>
      </w:r>
    </w:p>
    <w:p>
      <w:pPr>
        <w:spacing w:after="0" w:line="75"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9"/>
          <w:szCs w:val="19"/>
          <w:color w:val="231F20"/>
        </w:rPr>
        <w:t>INLIGHT™ is our first-in-human clinical trial of WVE-007 in individuals living with obesity. The Phase 1 single ascending dose (“SAD”) portion of INLIGHT includes otherwise healthy adults living with overweight or obesity to assess safety, tolerability, pharmacokinetics (“PK”), Activin E, body weight, biomarkers and body composition as measured by DEXA. Key inclusion criteria for the SAD portion of INLIGHT include hemoglobin A1c (“HbA1c”) of less than 5.9 and BMI between 28 and 35 kg/m</w:t>
      </w:r>
      <w:r>
        <w:rPr>
          <w:rFonts w:ascii="Times New Roman" w:cs="Times New Roman" w:eastAsia="Times New Roman" w:hAnsi="Times New Roman"/>
          <w:sz w:val="25"/>
          <w:szCs w:val="25"/>
          <w:color w:val="231F20"/>
          <w:vertAlign w:val="superscript"/>
        </w:rPr>
        <w:t>2</w:t>
      </w:r>
      <w:r>
        <w:rPr>
          <w:rFonts w:ascii="Times New Roman" w:cs="Times New Roman" w:eastAsia="Times New Roman" w:hAnsi="Times New Roman"/>
          <w:sz w:val="19"/>
          <w:szCs w:val="19"/>
          <w:color w:val="231F20"/>
        </w:rPr>
        <w:t>. The SAD portion of INLIGHT does not include any diet or exercise modifications.</w:t>
      </w:r>
    </w:p>
    <w:p>
      <w:pPr>
        <w:spacing w:after="0" w:line="84"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19"/>
          <w:szCs w:val="19"/>
          <w:color w:val="231F20"/>
        </w:rPr>
        <w:t>In December 2025, we announced positive interim data from the ongoing Phase 1, SAD portion of INLIGHT, including three-month follow-up from the single subcutaneous 240 mg dose cohort in 32 individuals with an approximate mean baseline BMI of 32 kg/m</w:t>
      </w:r>
      <w:r>
        <w:rPr>
          <w:rFonts w:ascii="Times New Roman" w:cs="Times New Roman" w:eastAsia="Times New Roman" w:hAnsi="Times New Roman"/>
          <w:sz w:val="25"/>
          <w:szCs w:val="25"/>
          <w:color w:val="231F20"/>
          <w:vertAlign w:val="superscript"/>
        </w:rPr>
        <w:t>2</w:t>
      </w:r>
      <w:r>
        <w:rPr>
          <w:rFonts w:ascii="Times New Roman" w:cs="Times New Roman" w:eastAsia="Times New Roman" w:hAnsi="Times New Roman"/>
          <w:sz w:val="19"/>
          <w:szCs w:val="19"/>
          <w:color w:val="231F20"/>
        </w:rPr>
        <w:t>, a population with less visceral and subcutaneous fat than typical obesity studies. Key highlights include:</w:t>
      </w:r>
    </w:p>
    <w:p>
      <w:pPr>
        <w:spacing w:after="0" w:line="1" w:lineRule="exact"/>
        <w:rPr>
          <w:sz w:val="20"/>
          <w:szCs w:val="20"/>
          <w:color w:val="auto"/>
        </w:rPr>
      </w:pPr>
    </w:p>
    <w:p>
      <w:pPr>
        <w:ind w:left="700" w:hanging="351"/>
        <w:spacing w:after="0" w:line="239" w:lineRule="auto"/>
        <w:tabs>
          <w:tab w:leader="none" w:pos="700" w:val="left"/>
        </w:tabs>
        <w:numPr>
          <w:ilvl w:val="0"/>
          <w:numId w:val="8"/>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A single 240 mg dose of WVE-007 demonstrated improved body composition with fat loss similar to GLP-1 at three months, with muscle preservation.</w:t>
      </w:r>
    </w:p>
    <w:p>
      <w:pPr>
        <w:ind w:left="700" w:right="60" w:hanging="352"/>
        <w:spacing w:after="0" w:line="242" w:lineRule="auto"/>
        <w:tabs>
          <w:tab w:leader="none" w:pos="700" w:val="left"/>
        </w:tabs>
        <w:numPr>
          <w:ilvl w:val="0"/>
          <w:numId w:val="8"/>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From baseline, a single dose of WVE-007 improved body composition and led to a 9.4% reduction in visceral fat (p=0.02), a 4.5% reduction in total body fat (3.5 lbs; p=0.07), and a 3.2% increase in lean mass (4.0 lbs; p=0.01) as measured by DEXA scan at Day 85. No statistically significant changes from baseline in these parameters were observed in the placebo group (0.2% reduction in visceral fat, 0.5% reduction in total body fat, 2.3% increase in lean mass).</w:t>
      </w:r>
    </w:p>
    <w:p>
      <w:pPr>
        <w:spacing w:after="0" w:line="1" w:lineRule="exact"/>
        <w:rPr>
          <w:rFonts w:ascii="Calibri" w:cs="Calibri" w:eastAsia="Calibri" w:hAnsi="Calibri"/>
          <w:sz w:val="19"/>
          <w:szCs w:val="19"/>
          <w:color w:val="231F20"/>
        </w:rPr>
      </w:pPr>
    </w:p>
    <w:p>
      <w:pPr>
        <w:ind w:left="700" w:right="220" w:hanging="352"/>
        <w:spacing w:after="0" w:line="239" w:lineRule="auto"/>
        <w:tabs>
          <w:tab w:leader="none" w:pos="700" w:val="left"/>
        </w:tabs>
        <w:numPr>
          <w:ilvl w:val="0"/>
          <w:numId w:val="8"/>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When adjusting for placebo, a single dose of WVE-007 led to a 9.2% reduction in visceral fat, a 4.0% reduction in total fat mass, a 0.9% increase in lean mass, and a 0.9% decrease in total mass from baseline as measured by DEXA.</w:t>
      </w:r>
    </w:p>
    <w:p>
      <w:pPr>
        <w:ind w:left="700" w:right="180" w:hanging="352"/>
        <w:spacing w:after="0" w:line="239" w:lineRule="auto"/>
        <w:tabs>
          <w:tab w:leader="none" w:pos="700" w:val="left"/>
        </w:tabs>
        <w:numPr>
          <w:ilvl w:val="0"/>
          <w:numId w:val="8"/>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Consistent and durable serum Activin E reductions were observed across participants and support WVE-007’s potential for once or twice-yearly dosing.</w:t>
      </w:r>
    </w:p>
    <w:p>
      <w:pPr>
        <w:ind w:left="700" w:right="460" w:hanging="352"/>
        <w:spacing w:after="0" w:line="243" w:lineRule="auto"/>
        <w:tabs>
          <w:tab w:leader="none" w:pos="700" w:val="left"/>
        </w:tabs>
        <w:numPr>
          <w:ilvl w:val="0"/>
          <w:numId w:val="8"/>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Maximum reductions in serum Activin E of 78% were observed 43 days post a single 240 mg dose. Mean reductions of greater than 75% were maintained at least up to Day 85, the end of the data cut.</w:t>
      </w:r>
    </w:p>
    <w:p>
      <w:pPr>
        <w:sectPr>
          <w:pgSz w:w="11880" w:h="15480" w:orient="portrait"/>
          <w:cols w:equalWidth="0" w:num="1">
            <w:col w:w="10440"/>
          </w:cols>
          <w:pgMar w:left="700" w:top="963" w:right="740" w:bottom="213"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9</w:t>
      </w:r>
    </w:p>
    <w:p>
      <w:pPr>
        <w:sectPr>
          <w:pgSz w:w="11880" w:h="15480" w:orient="portrait"/>
          <w:cols w:equalWidth="0" w:num="1">
            <w:col w:w="10440"/>
          </w:cols>
          <w:pgMar w:left="700" w:top="963" w:right="740" w:bottom="213" w:gutter="0" w:footer="0" w:header="0"/>
          <w:type w:val="continuous"/>
        </w:sectPr>
      </w:pPr>
    </w:p>
    <w:bookmarkStart w:id="15" w:name="page16"/>
    <w:bookmarkEnd w:id="15"/>
    <w:p>
      <w:pPr>
        <w:ind w:right="80"/>
        <w:spacing w:after="0" w:line="259" w:lineRule="auto"/>
        <w:rPr>
          <w:sz w:val="20"/>
          <w:szCs w:val="20"/>
          <w:color w:val="auto"/>
        </w:rPr>
      </w:pPr>
      <w:r>
        <w:rPr>
          <w:rFonts w:ascii="Times New Roman" w:cs="Times New Roman" w:eastAsia="Times New Roman" w:hAnsi="Times New Roman"/>
          <w:sz w:val="19"/>
          <w:szCs w:val="19"/>
          <w:color w:val="231F20"/>
        </w:rPr>
        <w:t>WVE-007 was generally safe and well tolerated across all dose levels (75 mg, 240 mg, 400 mg, and 600 mg). There were no discontinuations, and no severe or serious treatment emergent adverse events (“TEAEs”). All TEAEs were mild or moderate, and all treatment-related adverse events were mild. There were no clinically meaningful changes in laboratory measurements, including lipid profiles and liver function tests.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The INLIGHT clinical trial is currently ongoing with 240 mg (n=32), 400 mg (n=32), and 600 mg (n=32) cohorts fully dosed. INLIGHT is ongoing at multiple trial sites including in the US, following clearance of an Investigational New Drug (“IND”) application. In the first quarter of 2026, we expect to deliver six-month follow-up data from Cohort 2 (240 mg) and three -month follow-up data from Cohort 3 (400 mg). Planning is underway to initiate the Phase 2a multidose (“MAD”) portion of the ongoing INLIGHT clinical trial in individuals living with higher BMI and comorbidities in the first half of 2026. We also expect to initiate new clinical trials evaluating WVE-007 as an incretin add-on and as post-incretin maintenance in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231F20"/>
        </w:rPr>
        <w:t>Alpha-1 antitrypsin deficiency (“AATD”)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Background and Market Opportunity</w:t>
      </w:r>
    </w:p>
    <w:p>
      <w:pPr>
        <w:spacing w:after="0" w:line="117" w:lineRule="exact"/>
        <w:rPr>
          <w:sz w:val="20"/>
          <w:szCs w:val="20"/>
          <w:color w:val="auto"/>
        </w:rPr>
      </w:pPr>
    </w:p>
    <w:p>
      <w:pPr>
        <w:ind w:right="100" w:firstLine="1"/>
        <w:spacing w:after="0" w:line="251" w:lineRule="auto"/>
        <w:rPr>
          <w:sz w:val="20"/>
          <w:szCs w:val="20"/>
          <w:color w:val="auto"/>
        </w:rPr>
      </w:pPr>
      <w:r>
        <w:rPr>
          <w:rFonts w:ascii="Times New Roman" w:cs="Times New Roman" w:eastAsia="Times New Roman" w:hAnsi="Times New Roman"/>
          <w:sz w:val="19"/>
          <w:szCs w:val="19"/>
          <w:color w:val="231F20"/>
        </w:rPr>
        <w:t xml:space="preserve">We are leveraging our RNA editing platform capability to develop a first-in -class treatment for AATD. AATD is a rare, inherited genetic disorder that is commonly caused by a G-to-A point mutation in the </w:t>
      </w:r>
      <w:r>
        <w:rPr>
          <w:rFonts w:ascii="Times New Roman" w:cs="Times New Roman" w:eastAsia="Times New Roman" w:hAnsi="Times New Roman"/>
          <w:sz w:val="19"/>
          <w:szCs w:val="19"/>
          <w:i w:val="1"/>
          <w:iCs w:val="1"/>
          <w:color w:val="231F20"/>
        </w:rPr>
        <w:t>SERPINA1</w:t>
      </w:r>
      <w:r>
        <w:rPr>
          <w:rFonts w:ascii="Times New Roman" w:cs="Times New Roman" w:eastAsia="Times New Roman" w:hAnsi="Times New Roman"/>
          <w:sz w:val="19"/>
          <w:szCs w:val="19"/>
          <w:color w:val="231F20"/>
        </w:rPr>
        <w:t xml:space="preserve"> gene; this mutant allele is termed the </w:t>
      </w:r>
      <w:r>
        <w:rPr>
          <w:rFonts w:ascii="Times New Roman" w:cs="Times New Roman" w:eastAsia="Times New Roman" w:hAnsi="Times New Roman"/>
          <w:sz w:val="19"/>
          <w:szCs w:val="19"/>
          <w:i w:val="1"/>
          <w:iCs w:val="1"/>
          <w:color w:val="231F20"/>
        </w:rPr>
        <w:t>Z</w:t>
      </w:r>
      <w:r>
        <w:rPr>
          <w:rFonts w:ascii="Times New Roman" w:cs="Times New Roman" w:eastAsia="Times New Roman" w:hAnsi="Times New Roman"/>
          <w:sz w:val="19"/>
          <w:szCs w:val="19"/>
          <w:color w:val="231F20"/>
        </w:rPr>
        <w:t xml:space="preserve"> allele. This mutation leads to misfolding and aggregation of Z-AAT protein in hepatocytes and a lack of functional Alpha- 1 antitrypsin (“AAT”) in the lungs. People with AATD typically exhibit progressive lung damage, liver damage or both, leading to frequent hospitalizations and potentially terminal lung disease and/or liver disease. Weekly intravenous augmentation therapy is the only treatment option for AATD in those with lung pathology; there are currently no approved therapies to address the liver pathology. Approximately 200,000 people in the United States and Europe are homozygous for the Z allele, which is the most common form of severe disease.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Current Treatments</w:t>
      </w:r>
    </w:p>
    <w:p>
      <w:pPr>
        <w:spacing w:after="0" w:line="1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231F20"/>
        </w:rPr>
        <w:t>There are five treatments currently approved in the United States for chronic augmentation and maintenance therapy in adults with emphysema due to congenital deficiency of alpha1-proteinase inhibitor (“Alpha1-PI”). Per FDA labeling for each, the effect of augmentation therapy with any Alpha1-PI on pulmonary exacerbations and on the progression of emphysema in Alpha1-PI deficiency has not been demonstrated in randomized, controlled clinical trials. Augmentation therapy is also approved in the EU, but reimbursement and accessibility vary by country. Patients with AATD can also be treated with therapies used in other lung diseases including bronchodilators to open airways and corticosteroids to reduce chronic inflammation common in the lungs of patients with AATD.</w:t>
      </w:r>
    </w:p>
    <w:p>
      <w:pPr>
        <w:spacing w:after="0" w:line="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231F20"/>
        </w:rPr>
        <w:t>There are currently no approved therapies to prevent the accumulation of the misfolded AAT protein in the liver. Treatments are available to help deal with intestinal bleeding, fluid in the abdomen, nutritional issues, and other complications from scarring of the liver, but ultimately many patients will progress towards requiring a liver transplant.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Our AATD Program</w:t>
      </w:r>
    </w:p>
    <w:p>
      <w:pPr>
        <w:spacing w:after="0" w:line="1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231F20"/>
        </w:rPr>
        <w:t>Our AATD program uses our novel GalNAc-conjugated AIMers (RNA editing oligonucleotides) and endogenous ADAR enzymes to correct a single base in the mutant SERPINA1 mRNA. By correcting the single RNA base mutation that causes a majority of AATD cases with the Pi*ZZ genotype (approximately 200,000 in the United States and Europe), RNA editing may provide an ideal approach for increasing circulating levels of wild-type AAT protein and reducing mutant protein aggregation in the liver, thus simultaneously addressing both the lung and liver manifestations of the disease. WVE- 006 does not require lipid nanoparticle (“LNP”) delivery, which may be associated with systemic and liver toxicities, and comes without the risk of irreversible, collateral bystander edits and indels, which are associated with DNA base editing.</w:t>
      </w:r>
    </w:p>
    <w:p>
      <w:pPr>
        <w:spacing w:after="0" w:line="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231F20"/>
        </w:rPr>
        <w:t xml:space="preserve">WVE-006 is first-in-class in AATD and is the most advanced program currently in clinical development using an oligonucleotide to harness an endogenous enzyme for RNA editing. Preclinical data show that treatment with WVE-006 resulted in serum AAT protein levels of up to 30 μM (7-fold increase) in an established AATD mouse model (NSG-PiZ). WVE-006 also led to restoration of approximately 50% wild-type M-AAT protein in serum and a 3-fold increase in neutrophil elastase inhibition activity, indicating that the restored M-AAT protein was functional. Our AATD AIMers are highly specific to SERPINA1 RNA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and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based on transcriptome-wide analyses.</w:t>
      </w:r>
    </w:p>
    <w:p>
      <w:pPr>
        <w:spacing w:after="0" w:line="7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231F20"/>
        </w:rPr>
        <w:t>Our RestorAATion clinical program investigating WVE-006 as a treatment for AATD is comprised of two parts: RestorAATion-1, a study of healthy volunteers, and RestorAATion-2, a Phase 1b/2a open label study designed to evaluate the safety, tolerability, pharmacodynamics and pharmacokinetics of WVE-006 in patients with AATD. The trial includes both single ascending dose and multiple ascending dose portions.</w:t>
      </w:r>
    </w:p>
    <w:p>
      <w:pPr>
        <w:spacing w:after="0" w:line="6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9"/>
          <w:szCs w:val="19"/>
          <w:color w:val="231F20"/>
        </w:rPr>
        <w:t>In September 2025, we announced positive data from the 200 mg single and multidose (n=8), and 400 mg single dose (n=8) cohorts of the ongoing RestorAATion-2 study. Key highlights included: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10</w:t>
      </w:r>
    </w:p>
    <w:p>
      <w:pPr>
        <w:sectPr>
          <w:pgSz w:w="11880" w:h="15480" w:orient="portrait"/>
          <w:cols w:equalWidth="0" w:num="1">
            <w:col w:w="10460"/>
          </w:cols>
          <w:pgMar w:left="700" w:top="963" w:right="720" w:bottom="213" w:gutter="0" w:footer="0" w:header="0"/>
        </w:sectPr>
      </w:pPr>
    </w:p>
    <w:bookmarkStart w:id="16" w:name="page17"/>
    <w:bookmarkEnd w:id="16"/>
    <w:p>
      <w:pPr>
        <w:ind w:left="700" w:right="20" w:hanging="351"/>
        <w:spacing w:after="0" w:line="252" w:lineRule="auto"/>
        <w:tabs>
          <w:tab w:leader="none" w:pos="70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Following a single 200 mg dose of WVE-006, a total AAT level of 20.6 μM, including a M-AAT level of 10.3 μM, was observed in one individual during an acute phase response due to a kidney stone. These data demonstrate that treatment with WVE-006 enables endogenous regulation and dynamic increased secretion of AAT protein during an acute phase response as indicated by a concurrent C-reactive protein elevation.</w:t>
      </w:r>
    </w:p>
    <w:p>
      <w:pPr>
        <w:spacing w:after="0" w:line="2" w:lineRule="exact"/>
        <w:rPr>
          <w:rFonts w:ascii="Times New Roman" w:cs="Times New Roman" w:eastAsia="Times New Roman" w:hAnsi="Times New Roman"/>
          <w:sz w:val="19"/>
          <w:szCs w:val="19"/>
          <w:color w:val="231F20"/>
        </w:rPr>
      </w:pPr>
    </w:p>
    <w:p>
      <w:pPr>
        <w:ind w:left="700" w:right="100" w:hanging="351"/>
        <w:spacing w:after="0" w:line="244" w:lineRule="auto"/>
        <w:tabs>
          <w:tab w:leader="none" w:pos="70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the 200 mg multidose cohort, we observed 11.9 μM of total AAT and M-AAT of 7.2 μM, which was significantly increased from levels achieved during the single dose portion of the cohort. M-AAT levels reached 64.4% of total AAT, and mutant Z-AAT protein declined from baseline by 60.3%.</w:t>
      </w:r>
    </w:p>
    <w:p>
      <w:pPr>
        <w:spacing w:after="0" w:line="2" w:lineRule="exact"/>
        <w:rPr>
          <w:rFonts w:ascii="Times New Roman" w:cs="Times New Roman" w:eastAsia="Times New Roman" w:hAnsi="Times New Roman"/>
          <w:sz w:val="19"/>
          <w:szCs w:val="19"/>
          <w:color w:val="231F20"/>
        </w:rPr>
      </w:pPr>
    </w:p>
    <w:p>
      <w:pPr>
        <w:ind w:left="700" w:hanging="352"/>
        <w:spacing w:after="0"/>
        <w:tabs>
          <w:tab w:leader="none" w:pos="70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the 400 mg single dose cohort, we observed total AAT of 12.8 μM and M-AAT of 5.3 μM.</w:t>
      </w:r>
    </w:p>
    <w:p>
      <w:pPr>
        <w:spacing w:after="0" w:line="5" w:lineRule="exact"/>
        <w:rPr>
          <w:rFonts w:ascii="Times New Roman" w:cs="Times New Roman" w:eastAsia="Times New Roman" w:hAnsi="Times New Roman"/>
          <w:sz w:val="19"/>
          <w:szCs w:val="19"/>
          <w:color w:val="231F20"/>
        </w:rPr>
      </w:pPr>
    </w:p>
    <w:p>
      <w:pPr>
        <w:ind w:left="700" w:right="120" w:hanging="352"/>
        <w:spacing w:after="0" w:line="258" w:lineRule="auto"/>
        <w:tabs>
          <w:tab w:leader="none" w:pos="70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WVE-006 was generally safe and well tolerated with a favorable safety profile. All adverse events were mild to moderate in intensity, and there were no SAEs.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652260" cy="2397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6652260" cy="239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720" w:right="140"/>
        <w:spacing w:after="0" w:line="258" w:lineRule="auto"/>
        <w:rPr>
          <w:sz w:val="20"/>
          <w:szCs w:val="20"/>
          <w:color w:val="auto"/>
        </w:rPr>
      </w:pPr>
      <w:r>
        <w:rPr>
          <w:rFonts w:ascii="Times New Roman" w:cs="Times New Roman" w:eastAsia="Times New Roman" w:hAnsi="Times New Roman"/>
          <w:sz w:val="16"/>
          <w:szCs w:val="16"/>
          <w:i w:val="1"/>
          <w:iCs w:val="1"/>
          <w:color w:val="231F20"/>
        </w:rPr>
        <w:t>Circulating M-AAT, Z-AAT, and total (M + Z) AAT protein in the serum were measured by highly selective and sensitive LC-MS/MS assays (LLOQ: 0.096 μM (M), 0.029 μM (Z)) and reported as mean participant SAD and MAD maximums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231F20"/>
        </w:rPr>
        <w:t>Middle: from 200 mg MAD cohort; Right: from 200 mg SAD cohort</w:t>
      </w:r>
    </w:p>
    <w:p>
      <w:pPr>
        <w:spacing w:after="0" w:line="200" w:lineRule="exact"/>
        <w:rPr>
          <w:sz w:val="20"/>
          <w:szCs w:val="20"/>
          <w:color w:val="auto"/>
        </w:rPr>
      </w:pPr>
    </w:p>
    <w:p>
      <w:pPr>
        <w:spacing w:after="0" w:line="24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The RestorAATion-2 clinical trial is fully enrolled through the 600 mg cohort, and dosing is ongoing. We expect to deliver data from the 400 mg multidose cohort in the first quarter of 2026. We also expect to deliver single and multidose data from the 600 mg cohort in 2026. In February 2026, we announced we were accelerating regulatory engagement for WVE-006, and we expect to receive regulatory feedback on a potential accelerated approval pathway mid-2026.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231F20"/>
        </w:rPr>
        <w:t>PNPLA3 I148M liver disease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Background and Market Opportunity</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PNPLA3 I148M is a genetic driver of liver disease, including metabolic dysfunction-associated fatty liver disease (“MAFLD”), metabolic dysfunction-associated steatohepatitis (“MASH”) and Alcoholic Steatohepatitis (“ASH”). There are an estimated nine million homozygous PNPLA3 I148M individuals with liver disease in the United States and Europe. Homozygous carriers have a near five- fold higher risk of liver-related death compared to heterozygous carriers. Additionally, homozygous PNPLA3 I148M carriers with MASH may experience more severe disease with faster progression to advanced fibrosis and end-stage liver disease.</w:t>
      </w:r>
    </w:p>
    <w:p>
      <w:pPr>
        <w:spacing w:after="0" w:line="7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231F20"/>
        </w:rPr>
        <w:t>The PNPLA3 protein plays a critical role in hepatic lipid metabolism by balancing triglyceride storage and secretion, and supporting lipid remodeling, lipid mobilization, and retinol metabolism. The PNPLA3 I148M variant leads to a gain -of-function and contributes to liver disease by aggravating steatosis, inflammation, fibrosis, and ballooning. Therapeutic approaches aimed at silencing PNPLA3 may address liver fat accumulation, but they provide limited benefit in restoring retinol metabolism; fibrosis, ballooning, and inflammation are expected to persist. In contrast, an RNA editing approach to restore, rather than silence, PNPLA3 function in homozygous PNPLA3 I148M carriers should address liver disease by restoring lipid metabolism and reversing steatosis, fibrosis, ballooning, and inflammation.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Current Treatments</w:t>
      </w:r>
    </w:p>
    <w:p>
      <w:pPr>
        <w:spacing w:after="0" w:line="11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9"/>
          <w:szCs w:val="19"/>
          <w:color w:val="231F20"/>
        </w:rPr>
        <w:t>Currently, there are no therapeutic options specifically addressing the root cause of PNPLA3 I148M-driven liver disease. There are two therapies currently approved for MASH - Rezdiffra (resmetirom) from Madrigal Pharmaceuticals (US and EU) and Wegovy (semaglutide) from Novo Nordisk (US) – but neither directly addresses the pathology driven by PNPLA3 I148M.</w:t>
      </w:r>
    </w:p>
    <w:p>
      <w:pPr>
        <w:sectPr>
          <w:pgSz w:w="11880" w:h="15480" w:orient="portrait"/>
          <w:cols w:equalWidth="0" w:num="1">
            <w:col w:w="10460"/>
          </w:cols>
          <w:pgMar w:left="700" w:top="963" w:right="720" w:bottom="213"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11</w:t>
      </w:r>
    </w:p>
    <w:p>
      <w:pPr>
        <w:sectPr>
          <w:pgSz w:w="11880" w:h="15480" w:orient="portrait"/>
          <w:cols w:equalWidth="0" w:num="1">
            <w:col w:w="10460"/>
          </w:cols>
          <w:pgMar w:left="700" w:top="963" w:right="720" w:bottom="21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9"/>
          <w:szCs w:val="19"/>
          <w:i w:val="1"/>
          <w:iCs w:val="1"/>
          <w:color w:val="231F20"/>
        </w:rPr>
        <w:t>Our PNPLA3 I148M Liver Disease Program</w:t>
      </w:r>
    </w:p>
    <w:p>
      <w:pPr>
        <w:spacing w:after="0" w:line="115"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9"/>
          <w:szCs w:val="19"/>
          <w:color w:val="231F20"/>
        </w:rPr>
        <w:t>To effectively address the manifestations of PNPLA3 I148M liver disease, we use our novel RNA editing approach and have advanced WVE-008, a GalNAc-conjugated AIMer, as our clinical candidate. In preclinical studies, we have demonstrated that our PNPLA3 GalNAc-AIMer restores functional PNPLA3 protein and decreases lipid accumulation. We expect to file a clinical trial application for WVE-008 in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231F20"/>
        </w:rPr>
        <w:t>Duchenne muscular dystrophy (“DMD”)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Background and Market Opportunity</w:t>
      </w:r>
    </w:p>
    <w:p>
      <w:pPr>
        <w:spacing w:after="0" w:line="1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DMD is a rare, genetic progressive neuromuscular disorder caused by mutations in the dystrophin gene on the X chromosome that affects approximately one in 5,000 newborn boys around the world (approximately 20,000 new cases annually). The dystrophin protein is part of a protein complex called the dystrophin -associated protein complex that acts as an anchor, connecting each muscle cell’s structural framework with a lattice of proteins and other molecules outside the cell through the muscle cell membrane. The dystrophin-associated protein complex protects the muscle from injury during contraction and relaxation. Patients with DMD typically develop muscle weakness in the early years of life and become wheelchair-bound in their early teens. As the disease progresses, patients with DMD typically develop respiratory, orthopedic, and cardiac complications. Cardiomyopathy and breathing difficulties usually begin by the age of 20, and few individuals with DMD live beyond their thirties.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Current Treatments</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While there are approved therapies for DMD, there is no cure, and there continues to be significant unmet medical need. In most countries, corticosteroids are the standard drug therapy, which slows the progression of muscle weakness and delays loss of ambulation by two to three years. Approved steroids for DMD include Emflaza (deflazacort) and Santhera Pharmaceuticals’ Agamree (vamorolone), an alternative steroid.</w:t>
      </w:r>
    </w:p>
    <w:p>
      <w:pPr>
        <w:spacing w:after="0" w:line="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231F20"/>
        </w:rPr>
        <w:t>Four exon skipping therapies have been approved in the United States, all under the accelerated approval pathway. They include NS Pharma’s Viltepso (viltolarsen) for exon 53 skipping and three products from Sarepta Therapeutics: Exondys 51 (eteplirsen) for exon 51 skipping; Vyondys 53 (golodirsen) for exon 53 skipping; and Amondys 45 (casimersen) for exon 45 skipping. All of these products require weekly IV infusion, and to date, none of these products has demonstrated clinical benefit in a confirmatory trial.</w:t>
      </w:r>
    </w:p>
    <w:p>
      <w:pPr>
        <w:spacing w:after="0" w:line="62" w:lineRule="exact"/>
        <w:rPr>
          <w:sz w:val="20"/>
          <w:szCs w:val="20"/>
          <w:color w:val="auto"/>
        </w:rPr>
      </w:pPr>
    </w:p>
    <w:p>
      <w:pPr>
        <w:jc w:val="both"/>
        <w:ind w:right="600"/>
        <w:spacing w:after="0" w:line="267" w:lineRule="auto"/>
        <w:rPr>
          <w:sz w:val="20"/>
          <w:szCs w:val="20"/>
          <w:color w:val="auto"/>
        </w:rPr>
      </w:pPr>
      <w:r>
        <w:rPr>
          <w:rFonts w:ascii="Times New Roman" w:cs="Times New Roman" w:eastAsia="Times New Roman" w:hAnsi="Times New Roman"/>
          <w:sz w:val="19"/>
          <w:szCs w:val="19"/>
          <w:color w:val="231F20"/>
        </w:rPr>
        <w:t>Sarepta Therapeutics’ Elevidys, a microdystrophin gene therapy, is available in the United States and select ex -EU markets for ambulatory DMD patients aged at least four years who have a confirmed mutation in the DMD gene. In 2024, the FDA granted approval to Italfarmaco/ITF Therapeutics’ Duvyzat (givinostat), a histone deacetylase inhibitor.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Our DMD Program</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231F20"/>
        </w:rPr>
        <w:t>In DMD, we are advancing WVE-N531, which is designed to skip exon 53 within the dystrophin gene – a therapeutic approach that would address approximately 8-10% of DMD cases. WVE-N531 is designed to cause the cellular splicing machinery to skip over exon 53 during pre-mRNA processing, which restores the dystrophin mRNA reading frame and enables production of a truncated, but functional, dystrophin protein. Exon skipping produces dystrophin from the endogenous dystrophin gene (not micro or mini dystrophin expressed from a foreign vector), under the control of native gene-regulatory elements, resulting in physiological control over its expression. WVE -N531 is our first splicing candidate incorporating PN backbone (“PN”) chemistry to be assessed in the clinic. In the third quarter of 2024, the FDA granted Rare Pediatric Disease Designation and Orphan Drug Designation to WVE-N531.</w:t>
      </w:r>
    </w:p>
    <w:p>
      <w:pPr>
        <w:spacing w:after="0" w:line="73" w:lineRule="exact"/>
        <w:rPr>
          <w:sz w:val="20"/>
          <w:szCs w:val="20"/>
          <w:color w:val="auto"/>
        </w:rPr>
      </w:pPr>
    </w:p>
    <w:p>
      <w:pPr>
        <w:ind w:right="20" w:firstLine="1"/>
        <w:spacing w:after="0" w:line="253" w:lineRule="auto"/>
        <w:rPr>
          <w:sz w:val="20"/>
          <w:szCs w:val="20"/>
          <w:color w:val="auto"/>
        </w:rPr>
      </w:pPr>
      <w:r>
        <w:rPr>
          <w:rFonts w:ascii="Times New Roman" w:cs="Times New Roman" w:eastAsia="Times New Roman" w:hAnsi="Times New Roman"/>
          <w:sz w:val="19"/>
          <w:szCs w:val="19"/>
          <w:color w:val="231F20"/>
        </w:rPr>
        <w:t>FORWARD-53, the Phase 1b/2a proof-of-concept, open label trial of WVE-N531 included “Part A,” in which 3 boys received 3 doses of WVE-N531 at 10 mg/kg every two weeks and “Part B,” in which 11 boys initially received 10 mg/kg every two weeks for 48 weeks. In “Part B”, biopsy data was gathered from eight boys after 24 and 48 weeks, as well as safety and functional outcome assessments for all participants. Key results from the study included:</w:t>
      </w:r>
    </w:p>
    <w:p>
      <w:pPr>
        <w:ind w:left="520" w:hanging="340"/>
        <w:spacing w:after="0" w:line="234" w:lineRule="auto"/>
        <w:tabs>
          <w:tab w:leader="none" w:pos="520" w:val="left"/>
        </w:tabs>
        <w:numPr>
          <w:ilvl w:val="0"/>
          <w:numId w:val="10"/>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WVE-N531 uptake in myogenic stem cells, which are integral to muscle regeneration, and in myofibers;</w:t>
      </w:r>
    </w:p>
    <w:p>
      <w:pPr>
        <w:ind w:left="520" w:hanging="340"/>
        <w:spacing w:after="0" w:line="236" w:lineRule="auto"/>
        <w:tabs>
          <w:tab w:leader="none" w:pos="520" w:val="left"/>
        </w:tabs>
        <w:numPr>
          <w:ilvl w:val="0"/>
          <w:numId w:val="10"/>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Mean WVE-N531 skeletal muscle concentrations of ~41,000 ng/g and a 61-day tissue half-life support monthly dosing;</w:t>
      </w:r>
    </w:p>
    <w:p>
      <w:pPr>
        <w:jc w:val="both"/>
        <w:ind w:left="520" w:right="160" w:hanging="340"/>
        <w:spacing w:after="0" w:line="241" w:lineRule="auto"/>
        <w:tabs>
          <w:tab w:leader="none" w:pos="520" w:val="left"/>
        </w:tabs>
        <w:numPr>
          <w:ilvl w:val="0"/>
          <w:numId w:val="10"/>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Statistically significant and clinically meaningful improvement of 3.8 seconds in Time-to-Rise vs. natural history with largest effect observed relative to any approved dystrophin restoration therapy at 48 weeks; additional functional benefits observed in other outcome measures including North Star Ambulatory Assessment (“NSAA”);</w:t>
      </w:r>
    </w:p>
    <w:p>
      <w:pPr>
        <w:spacing w:after="0" w:line="1" w:lineRule="exact"/>
        <w:rPr>
          <w:rFonts w:ascii="Calibri" w:cs="Calibri" w:eastAsia="Calibri" w:hAnsi="Calibri"/>
          <w:sz w:val="19"/>
          <w:szCs w:val="19"/>
          <w:color w:val="231F20"/>
        </w:rPr>
      </w:pPr>
    </w:p>
    <w:p>
      <w:pPr>
        <w:ind w:left="520" w:hanging="340"/>
        <w:spacing w:after="0" w:line="241" w:lineRule="auto"/>
        <w:tabs>
          <w:tab w:leader="none" w:pos="520" w:val="left"/>
        </w:tabs>
        <w:numPr>
          <w:ilvl w:val="0"/>
          <w:numId w:val="10"/>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First-ever demonstration of substantial improvements in muscle health with exon skipping – statistically significant reduction in fibrosis driven by decreases in inflammation and necrosis, coupled with transition from regenerative to mature muscle; decreases in creatine kinase and circulating inflammatory biomarkers;</w:t>
      </w:r>
    </w:p>
    <w:p>
      <w:pPr>
        <w:spacing w:after="0" w:line="1" w:lineRule="exact"/>
        <w:rPr>
          <w:rFonts w:ascii="Calibri" w:cs="Calibri" w:eastAsia="Calibri" w:hAnsi="Calibri"/>
          <w:sz w:val="19"/>
          <w:szCs w:val="19"/>
          <w:color w:val="231F20"/>
        </w:rPr>
      </w:pPr>
    </w:p>
    <w:p>
      <w:pPr>
        <w:ind w:left="520" w:hanging="340"/>
        <w:spacing w:after="0" w:line="233" w:lineRule="auto"/>
        <w:tabs>
          <w:tab w:leader="none" w:pos="520" w:val="left"/>
        </w:tabs>
        <w:numPr>
          <w:ilvl w:val="0"/>
          <w:numId w:val="10"/>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Dystrophin expression stabilized between 24 and 48 weeks and averaged 7.8% with 88% of boys above 5% average dystrophin;</w:t>
      </w:r>
    </w:p>
    <w:p>
      <w:pPr>
        <w:ind w:left="520" w:hanging="340"/>
        <w:spacing w:after="0" w:line="238" w:lineRule="auto"/>
        <w:tabs>
          <w:tab w:leader="none" w:pos="520" w:val="left"/>
        </w:tabs>
        <w:numPr>
          <w:ilvl w:val="0"/>
          <w:numId w:val="10"/>
        </w:numPr>
        <w:rPr>
          <w:rFonts w:ascii="Calibri" w:cs="Calibri" w:eastAsia="Calibri" w:hAnsi="Calibri"/>
          <w:sz w:val="19"/>
          <w:szCs w:val="19"/>
          <w:color w:val="231F20"/>
        </w:rPr>
      </w:pPr>
      <w:r>
        <w:rPr>
          <w:rFonts w:ascii="Times New Roman" w:cs="Times New Roman" w:eastAsia="Times New Roman" w:hAnsi="Times New Roman"/>
          <w:sz w:val="19"/>
          <w:szCs w:val="19"/>
          <w:color w:val="231F20"/>
        </w:rPr>
        <w:t>WVE-N531 was generally safe and well-tolerated with no SAEs observed.</w:t>
      </w:r>
    </w:p>
    <w:p>
      <w:pPr>
        <w:spacing w:after="0" w:line="198"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9"/>
          <w:szCs w:val="19"/>
          <w:color w:val="231F20"/>
        </w:rPr>
        <w:t>All participants in FORWARD-53 elected to advance to the extension portion of the clinical trial, which is currently ongoing with boys receiving monthly doses of WVE-N531. To augment monthly data and ensure a monthly regimen at a potential launch, we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12</w:t>
      </w:r>
    </w:p>
    <w:p>
      <w:pPr>
        <w:sectPr>
          <w:pgSz w:w="11880" w:h="15480" w:orient="portrait"/>
          <w:cols w:equalWidth="0" w:num="1">
            <w:col w:w="10480"/>
          </w:cols>
          <w:pgMar w:left="700" w:top="967" w:right="700" w:bottom="213" w:gutter="0" w:footer="0" w:header="0"/>
        </w:sectPr>
      </w:pPr>
    </w:p>
    <w:bookmarkStart w:id="18" w:name="page19"/>
    <w:bookmarkEnd w:id="18"/>
    <w:p>
      <w:pPr>
        <w:spacing w:after="0" w:line="286" w:lineRule="auto"/>
        <w:rPr>
          <w:sz w:val="20"/>
          <w:szCs w:val="20"/>
          <w:color w:val="auto"/>
        </w:rPr>
      </w:pPr>
      <w:r>
        <w:rPr>
          <w:rFonts w:ascii="Times New Roman" w:cs="Times New Roman" w:eastAsia="Times New Roman" w:hAnsi="Times New Roman"/>
          <w:sz w:val="19"/>
          <w:szCs w:val="19"/>
          <w:color w:val="231F20"/>
        </w:rPr>
        <w:t>expanded FORWARD-53 to include additional boys on a monthly dosing regimen. We plan to file a New Drug Application in 2026 to support accelerated approval of WVE-N531 with monthly dosing.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231F20"/>
        </w:rPr>
        <w:t>Huntington’s disease (“HD”)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Background and Market Opportunity</w:t>
      </w:r>
    </w:p>
    <w:p>
      <w:pPr>
        <w:spacing w:after="0" w:line="1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231F20"/>
        </w:rPr>
        <w:t>HD is a rare hereditary neurodegenerative disease that results in early death and for which there is no cure. In patients with HD, there is a progressive loss of neurons in the brain leading to cognitive, psychiatric, and motor disabilities. HD is caused by a mutation (an expanded cytosine-adenine-guanine (“CAG”) triplet repeat) in the Huntingtin (“</w:t>
      </w:r>
      <w:r>
        <w:rPr>
          <w:rFonts w:ascii="Times New Roman" w:cs="Times New Roman" w:eastAsia="Times New Roman" w:hAnsi="Times New Roman"/>
          <w:sz w:val="19"/>
          <w:szCs w:val="19"/>
          <w:i w:val="1"/>
          <w:iCs w:val="1"/>
          <w:color w:val="231F20"/>
        </w:rPr>
        <w:t>HTT”)</w:t>
      </w:r>
      <w:r>
        <w:rPr>
          <w:rFonts w:ascii="Times New Roman" w:cs="Times New Roman" w:eastAsia="Times New Roman" w:hAnsi="Times New Roman"/>
          <w:sz w:val="19"/>
          <w:szCs w:val="19"/>
          <w:color w:val="231F20"/>
        </w:rPr>
        <w:t xml:space="preserve"> gene, which results in production of mHTT protein and decreases the amount of wtHTT protein that is expressed. Patients with HD still express some wtHTT protein, which is important for neuronal function, and which may be neuroprotective in an adult brain and specifically protective against HD. Studies suggest a multifaceted mechanism by which gain of mHTT protein and a concurrent loss of wtHTT protein may drive the pathophysiology of HD. Accordingly, therapeutic approaches for HD that aim to lower mHTT but that also suppress wtHTT may have detrimental long-term consequences. We believe an allele-selective therapeutic, one that can diminish the production of mHTT while sparing wtHTT, may be ideal.</w:t>
      </w:r>
    </w:p>
    <w:p>
      <w:pPr>
        <w:spacing w:after="0" w:line="76"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9"/>
          <w:szCs w:val="19"/>
          <w:color w:val="231F20"/>
        </w:rPr>
        <w:t>Symptoms of HD typically appear between the ages of 30 and 50 and worsen over the next 10 to 20 years. Many describe the symptoms of HD as similar to having amyotrophic lateral sclerosis, Parkinson’s Disease and Alzheimer’s Disease simultaneously. Patients experience a reduction in motor function and psychological disturbances. Life expectancy after symptom onset is approximately 20 years. In the most symptomatic stages, often lasting over 10 years, affected persons become fully dependent upon others to manage all activities of daily living; they lose the ability to make decisions, feed themselves and walk, and often require premature placement in a long- term care facility. It is estimated that there are over 200,000 individuals with HD across all disease stages in the United States and Europe; ~160,000 are pre-symptomatic and ~65,000 are symptomatic. Our allele-selective approach may enable us to address both the symptomatic and pre-symptomatic populations.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Medium spiny neurons in a deep brain region called the striatum, which includes caudate and putamen, are particularly sensitive to death in HD. Caudate volume, as measured by magnetic resonance imaging (“MRI”), is an imaging biomarker that consistently shows atrophy at the earliest stages of disease, and it is one of the biomarkers that serves as a landmark for disease progression (Tabrizi et al., 2022 Lancet Neurol). Our evaluation of longitudinal natural history data from TRACK-HD and PREDICT-HD demonstrate that an absolute reduction of 1% in the rate of caudate atrophy is associated with a delay of onset of disability for individuals with HD of at least 7.5 years.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Current Treatments</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231F20"/>
        </w:rPr>
        <w:t>There are currently no approved treatments that can reverse or slow HD progression. Current pharmacological therapies only address HD symptoms. Antipsychotics are used to manage depression, irritability, and chorea (involuntary movements). Xenazine (tetrabenazine), Austedo (deutetrabenazine), and as of August 2023, Ingrezza (valbenazine) are the only therapies approved for the treatment of chorea associated with HD in the United States. In the EU, Xenazine, Haldol (haloperidol), and Tiapridal (tiapride) are approved for the treatment of chorea associated with HD.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Our HD Program</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231F20"/>
        </w:rPr>
        <w:t>WVE-003 is our stereopure allele-selective oligonucleotide that incorporates our proprietary PN chemistry and is designed to selectively target rs362273, a variant of the single nucleotide polymorphism (“SNP”), “mHTT SNP3”, associated with the disease-causing mHTT mRNA transcript within the HTT gene (Iwamoto et al., MTNA). Targeting mRNA through SNP3 allows us to lower expression of transcript from the mutant allele, while leaving the healthy transcript relatively intact, thereby preserving wild-type (healthy) huntingtin (“wtHTT”) protein, which is important for neuronal function. Approximately 40% of the HD population carries SNP3 according to published literature (Carroll et al., Molecular Therapy, 2011), and up to 80% of HD may be addressed in the future with other SNP-targeted candidates.</w:t>
      </w:r>
    </w:p>
    <w:p>
      <w:pPr>
        <w:spacing w:after="0" w:line="7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231F20"/>
        </w:rPr>
        <w:t>SELECT-HD was a global, multicenter, randomized, double-blind, placebo-controlled Phase 1b/2a clinical trial to assess the safety and tolerability of WVE -003 in people with a confirmed diagnosis of HD who were in the early stages of the disease and carry SNP3 in association with their CAG expansion. Additional objectives included assessing PK and exploratory PD and clinical endpoints.</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231F20"/>
        </w:rPr>
        <w:t>In June 2024, we announced positive clinical data from the SELECT-HD study. Results from the multi -dose portion of the trial, which evaluated three doses of 30 mg WVE-003 administered every eight weeks, showed clear translation of target engagement to clinic with statistically significant, potent, durable and allele-selective reductions in cerebrospinal fluid (“CSF”) mHTT of up to a mean 46%, with preservation of wtHTT protein. The multi-dose cohort also revealed a statistically significant correlation between mHTT reduction and slowing of caudate atrophy, indicating a potential benefit of allele-selective mHTT reductions. Caudate atrophy, as measured by MRI, is a well-characterized measure of disease progression in HD. In the multi-dose cohort, WVE-003 was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13</w:t>
      </w:r>
    </w:p>
    <w:p>
      <w:pPr>
        <w:sectPr>
          <w:pgSz w:w="11880" w:h="15480" w:orient="portrait"/>
          <w:cols w:equalWidth="0" w:num="1">
            <w:col w:w="10460"/>
          </w:cols>
          <w:pgMar w:left="700" w:top="963" w:right="720" w:bottom="213" w:gutter="0" w:footer="0" w:header="0"/>
        </w:sectPr>
      </w:pPr>
    </w:p>
    <w:bookmarkStart w:id="19" w:name="page20"/>
    <w:bookmarkEnd w:id="19"/>
    <w:p>
      <w:pPr>
        <w:ind w:right="220"/>
        <w:spacing w:after="0" w:line="286" w:lineRule="auto"/>
        <w:rPr>
          <w:sz w:val="20"/>
          <w:szCs w:val="20"/>
          <w:color w:val="auto"/>
        </w:rPr>
      </w:pPr>
      <w:r>
        <w:rPr>
          <w:rFonts w:ascii="Times New Roman" w:cs="Times New Roman" w:eastAsia="Times New Roman" w:hAnsi="Times New Roman"/>
          <w:sz w:val="19"/>
          <w:szCs w:val="19"/>
          <w:color w:val="231F20"/>
        </w:rPr>
        <w:t>safe and well-tolerated, with mild-to -moderate adverse events (“AEs”) and no SAEs. In November 2024, five months after a patient completed their final safety visit, an SAE was reported that we assessed to be not related to WVE-003.</w:t>
      </w:r>
    </w:p>
    <w:p>
      <w:pPr>
        <w:spacing w:after="0" w:line="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231F20"/>
        </w:rPr>
        <w:t>Following our positive clinical results, we initiated engagement with the FDA. In November 2024, we received supportive initial feedback from the FDA, who recognize the severity of HD and are receptive to and engaged with us regarding a potential pathway to accelerated approval. The FDA is open to our plan to evaluate biomarkers, including caudate atrophy, as an endpoint to assess HD progression with the potential to predict clinical outcomes. Also in November 2024, the FDA granted Orphan Drug Designation to WVE-003.</w:t>
      </w:r>
    </w:p>
    <w:p>
      <w:pPr>
        <w:spacing w:after="0" w:line="67"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9"/>
          <w:szCs w:val="19"/>
          <w:color w:val="231F20"/>
        </w:rPr>
        <w:t>We have prepared an IND application for a potentially registrational Phase 2/3 study of WVE-003 and would plan to submit it in conjunction with a prospective strategic partner.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231F20"/>
        </w:rPr>
        <w:t>Discovery Pipeline</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We are advancing new targets across multiple disease areas to expand our pipeline of wholly owned programs. Our compelling preclinical data demonstrate that our oligonucleotides can distribute to various tissues and cells without complex delivery vehicles, enabling us to address a wide variety of diseases. Within RNA editing, we have demonstrated clinically that we can address monogenic diseases by correcting the disease-causing mutation, as evidenced by restoration of healthy protein function for the treatment of AATD. Beyond correction, we have preclinical data demonstrating our ability to increase the stability of the mRNA transcript to upregulate protein levels. Within RNAi, we have shared preclinical data which show that our SpiNA designs enable RNAi-mediated silencing by further improving Ago2 loading and pharmacokinetics, leading to increased potency and durability compared to industry benchmarks. With our SpiNA designs, our preclinical data demonstrate we can silence targets in extra-hepatic tissues including adipose, skeletal muscle, heart, CNS, and kidney. We are utilizing a combination of human genetics and AI for target discovery and oligonucleotide design, and we have initiated a number of preclinical RNA editing and RNAi programs supported by evidence from human genetics, that leverage easily accessible biomarkers, offer efficient paths to proof-of-concept in humans, and represent meaningful commercial opportunities.</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 xml:space="preserve">We have applied learnings from across our platform and chemistry optimization to investigate new bifunctional modalities which combine RNAi and RNA editing or dual RNAi silencing into a single oligonucleotide construct. These constructs are designed to silence multiple targets or silence one target while simultaneously editing or upregulating another distinct target. We demonstrated the ability of a single bifunctional oligonucleotide to engage in silencing and editing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in mice using a GalNAc-conjugated oligonucleotide that is designed to edit UGP2 and silence TTR. In a separate preclinical study, we also demonstrated that we were able to upregulate low-density lipoprotein receptor and silence PCSK9 using a single construct in primary human hepatocytes.</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231F20"/>
        </w:rPr>
        <w:t>Through our collaboration with GSK, we are actively working on multiple target validation programs as GSK-partnered programs, for which all of our costs and expenses are prepaid by GSK. GSK has selected four programs, across multiple modalities and hepatic and extra-hepatic tissues, to advance to development candidates following achievement of target validation, which have resulted in additional payments to us under the collaboration.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Strategy</w:t>
      </w:r>
    </w:p>
    <w:p>
      <w:pPr>
        <w:spacing w:after="0" w:line="1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231F20"/>
        </w:rPr>
        <w:t>We are building a leading RNA medicines company by utilizing our PRISM platform to translate powerful human genetic insights into potentially transformational therapeutics. Our therapeutic pipeline is focused on our clinical-stage obesity program (WVE-007) and our RNA editing (AIMer) portfolio (WVE-006 for AATD and WVE-008 for PNPLA3 I148M liver disease), all of which leverage GalNAc delivery. In addition to driving clinical and preclinical programs, we are continuously investing in PRISM to fully unlock the potential of our unique and expanding platform capabilities.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key components of our strategy are as follows:</w:t>
      </w:r>
    </w:p>
    <w:p>
      <w:pPr>
        <w:spacing w:after="0" w:line="135" w:lineRule="exact"/>
        <w:rPr>
          <w:sz w:val="20"/>
          <w:szCs w:val="20"/>
          <w:color w:val="auto"/>
        </w:rPr>
      </w:pPr>
    </w:p>
    <w:p>
      <w:pPr>
        <w:ind w:left="800" w:right="360" w:hanging="340"/>
        <w:spacing w:after="0" w:line="255" w:lineRule="auto"/>
        <w:tabs>
          <w:tab w:leader="none" w:pos="800" w:val="left"/>
        </w:tabs>
        <w:numPr>
          <w:ilvl w:val="0"/>
          <w:numId w:val="11"/>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Extend our leadership in RNA medicines</w:t>
      </w:r>
      <w:r>
        <w:rPr>
          <w:rFonts w:ascii="Times New Roman" w:cs="Times New Roman" w:eastAsia="Times New Roman" w:hAnsi="Times New Roman"/>
          <w:sz w:val="19"/>
          <w:szCs w:val="19"/>
          <w:color w:val="231F20"/>
        </w:rPr>
        <w:t>. We are establishing dominant position in the field of oligonucleotides,</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advancing basic research and pharmacology using stereochemistry and other novel modifications across multiple therapeutic modalities and target classes. Through PRISM, our efforts continue to reveal structure-activity relationships among base modifications and sequence, chemistry and backbone stereochemistry that may allow us to further tune the activity of our oligonucleotides in a previously unexplored, modality-specific manner.</w:t>
      </w:r>
    </w:p>
    <w:p>
      <w:pPr>
        <w:spacing w:after="0" w:line="84" w:lineRule="exact"/>
        <w:rPr>
          <w:rFonts w:ascii="Arial" w:cs="Arial" w:eastAsia="Arial" w:hAnsi="Arial"/>
          <w:sz w:val="19"/>
          <w:szCs w:val="19"/>
          <w:color w:val="231F20"/>
        </w:rPr>
      </w:pPr>
    </w:p>
    <w:p>
      <w:pPr>
        <w:ind w:left="800" w:right="60" w:hanging="340"/>
        <w:spacing w:after="0" w:line="253" w:lineRule="auto"/>
        <w:tabs>
          <w:tab w:leader="none" w:pos="800" w:val="left"/>
        </w:tabs>
        <w:numPr>
          <w:ilvl w:val="0"/>
          <w:numId w:val="11"/>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Rapidly advance and sustainably grow our differentiated portfolio of RNA medicines. </w:t>
      </w:r>
      <w:r>
        <w:rPr>
          <w:rFonts w:ascii="Times New Roman" w:cs="Times New Roman" w:eastAsia="Times New Roman" w:hAnsi="Times New Roman"/>
          <w:sz w:val="19"/>
          <w:szCs w:val="19"/>
          <w:color w:val="231F20"/>
        </w:rPr>
        <w:t>We are committed to transforming</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the care of individuals living with the burden of disease, including those with both rare and common diseases. Our current and future portfolio is focused on novel therapeutic approaches that optimally address disease biology, offer biomarkers for target engagement, inform on clinical effects early in development, and represent attractive commercial opportunities. With a focus on our clinically-validated RNAi (SpiNA) and RNA editing (AIMer) capabilities, we are positioned to unlock new biology and develop first-in-class therapeutics, including for extra-hepatic disease targets.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14</w:t>
      </w:r>
    </w:p>
    <w:p>
      <w:pPr>
        <w:sectPr>
          <w:pgSz w:w="11880" w:h="15480" w:orient="portrait"/>
          <w:cols w:equalWidth="0" w:num="1">
            <w:col w:w="10460"/>
          </w:cols>
          <w:pgMar w:left="700" w:top="963" w:right="720" w:bottom="213" w:gutter="0" w:footer="0" w:header="0"/>
        </w:sectPr>
      </w:pPr>
    </w:p>
    <w:bookmarkStart w:id="20" w:name="page21"/>
    <w:bookmarkEnd w:id="20"/>
    <w:p>
      <w:pPr>
        <w:ind w:left="800" w:hanging="340"/>
        <w:spacing w:after="0" w:line="252" w:lineRule="auto"/>
        <w:tabs>
          <w:tab w:leader="none" w:pos="800" w:val="left"/>
        </w:tabs>
        <w:numPr>
          <w:ilvl w:val="0"/>
          <w:numId w:val="12"/>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Leverage manufacturing leadership in oligonucleotides. </w:t>
      </w:r>
      <w:r>
        <w:rPr>
          <w:rFonts w:ascii="Times New Roman" w:cs="Times New Roman" w:eastAsia="Times New Roman" w:hAnsi="Times New Roman"/>
          <w:sz w:val="19"/>
          <w:szCs w:val="19"/>
          <w:color w:val="231F20"/>
        </w:rPr>
        <w:t>We have built a hybrid internal / external manufacturing model</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that enables us to produce stereopure oligonucleotides at scales from one micromole to potential commercial scale. Through our internal manufacturing, based in our Lexington, Massachusetts facility, we have the capacity to support multiple discovery, preclinical, and early clinical-stage programs, and we have the expertise to conduct manufacturing runs for oligonucleotides spanning multiple modalities. We believe that leveraging our internal manufacturing capabilities along with expertise from contract manufacturing organizations (“CMOs”) facilitates our growth and enhances our ability to secure drug substance for current and future development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PRISM: Our proprietary discovery and drug development platform</w:t>
      </w:r>
    </w:p>
    <w:p>
      <w:pPr>
        <w:spacing w:after="0" w:line="12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231F20"/>
        </w:rPr>
        <w:t>Our PRISM platform demonstrates the powerful convergence of best-in-class chemistry with human genetics. The platform was built on the recognition that a significant opportunity exists to tune the pharmacological properties of oligonucleotides by leveraging three key features of these molecules: base modifications and sequence, chemistry, and stereochemistry. Our unique ability to control stereochemistry provides the resolution necessary to optimize pharmacological profiles and develop and manufacture stereopure oligonucleotides. Stereopure oligonucleotides are comprised of molecules with atoms precisely and purposefully arranged in three-dimensional orientations at each linkage. Our stereopure oligonucleotides are distinct from the chiral backbone-modified or “mixture-based” oligonucleotides currently on the market or in development by others, which we believe are not optimized for stability, catalytic activity, efficacy or toxicity. We believe that PRISM has the potential to set a new industry standard for the molecular characterization of therapeutic oligonucleotides. Our rational process for designing stereopure oligonucleotides allows us to selectively optimize chemical modifications to a specific therapeutic modality in order to generate best-in-class oligonucleotides.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Advantages of PRISM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believe that PRISM is a significant advancement in the development of oligonucleotides. The advantages of our approach include:</w:t>
      </w:r>
    </w:p>
    <w:p>
      <w:pPr>
        <w:spacing w:after="0" w:line="135" w:lineRule="exact"/>
        <w:rPr>
          <w:sz w:val="20"/>
          <w:szCs w:val="20"/>
          <w:color w:val="auto"/>
        </w:rPr>
      </w:pPr>
    </w:p>
    <w:p>
      <w:pPr>
        <w:ind w:left="800" w:right="40" w:hanging="340"/>
        <w:spacing w:after="0" w:line="252" w:lineRule="auto"/>
        <w:tabs>
          <w:tab w:leader="none" w:pos="800" w:val="left"/>
        </w:tabs>
        <w:numPr>
          <w:ilvl w:val="0"/>
          <w:numId w:val="13"/>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Ability to rationally design product candidates with optimized pharmacological properties</w:t>
      </w:r>
      <w:r>
        <w:rPr>
          <w:rFonts w:ascii="Times New Roman" w:cs="Times New Roman" w:eastAsia="Times New Roman" w:hAnsi="Times New Roman"/>
          <w:sz w:val="19"/>
          <w:szCs w:val="19"/>
          <w:color w:val="231F20"/>
        </w:rPr>
        <w:t>. Our platform combines our</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 xml:space="preserve">unique ability to construct stereopure oligonucleotides with a deep understanding of how the interplay among oligonucleotide base modifications and sequence, chemistry and backbone stereochemistry impacts key pharmacological properties. By exploring these interactions through iterative analysis of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and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outcomes and machine learning-driven predictive modeling, we continue to define design principles that we deploy across programs to rapidly develop and manufacture clinical candidates that meet pre-defined product profiles. PRISM has also enabled us to further innovate our chemistry, including the application of new chemistry modifications, to our pipeline programs.</w:t>
      </w:r>
    </w:p>
    <w:p>
      <w:pPr>
        <w:spacing w:after="0" w:line="86" w:lineRule="exact"/>
        <w:rPr>
          <w:rFonts w:ascii="Arial" w:cs="Arial" w:eastAsia="Arial" w:hAnsi="Arial"/>
          <w:sz w:val="19"/>
          <w:szCs w:val="19"/>
          <w:color w:val="231F20"/>
        </w:rPr>
      </w:pPr>
    </w:p>
    <w:p>
      <w:pPr>
        <w:ind w:left="800" w:right="220" w:hanging="340"/>
        <w:spacing w:after="0" w:line="266" w:lineRule="auto"/>
        <w:tabs>
          <w:tab w:leader="none" w:pos="800" w:val="left"/>
        </w:tabs>
        <w:numPr>
          <w:ilvl w:val="0"/>
          <w:numId w:val="13"/>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Broad applicability</w:t>
      </w:r>
      <w:r>
        <w:rPr>
          <w:rFonts w:ascii="Times New Roman" w:cs="Times New Roman" w:eastAsia="Times New Roman" w:hAnsi="Times New Roman"/>
          <w:sz w:val="19"/>
          <w:szCs w:val="19"/>
          <w:color w:val="231F20"/>
        </w:rPr>
        <w:t>. PRISM is applicable to oligonucleotides acting via multiple therapeutic modalities, including RNAi,</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RNA editing, splicing, antisense and bifunctional modalities. It is also compatible with a broad range of chemical modifications and targeting moieties.</w:t>
      </w:r>
    </w:p>
    <w:p>
      <w:pPr>
        <w:spacing w:after="0" w:line="71" w:lineRule="exact"/>
        <w:rPr>
          <w:rFonts w:ascii="Arial" w:cs="Arial" w:eastAsia="Arial" w:hAnsi="Arial"/>
          <w:sz w:val="19"/>
          <w:szCs w:val="19"/>
          <w:color w:val="231F20"/>
        </w:rPr>
      </w:pPr>
    </w:p>
    <w:p>
      <w:pPr>
        <w:ind w:left="800" w:right="20" w:hanging="340"/>
        <w:spacing w:after="0" w:line="266" w:lineRule="auto"/>
        <w:tabs>
          <w:tab w:leader="none" w:pos="800" w:val="left"/>
        </w:tabs>
        <w:numPr>
          <w:ilvl w:val="0"/>
          <w:numId w:val="13"/>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Simplified delivery</w:t>
      </w:r>
      <w:r>
        <w:rPr>
          <w:rFonts w:ascii="Times New Roman" w:cs="Times New Roman" w:eastAsia="Times New Roman" w:hAnsi="Times New Roman"/>
          <w:sz w:val="19"/>
          <w:szCs w:val="19"/>
          <w:color w:val="231F20"/>
        </w:rPr>
        <w:t>. We can take advantage of simplified delivery strategies, such as free-uptake or GalNAc conjugation, to</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reach the site of action in the right tissue. This approach avoids the need, and certain limitations, for complex delivery vehicles such as LNPs or adeno-associated viruses (“AAV”).</w:t>
      </w:r>
    </w:p>
    <w:p>
      <w:pPr>
        <w:spacing w:after="0" w:line="73" w:lineRule="exact"/>
        <w:rPr>
          <w:rFonts w:ascii="Arial" w:cs="Arial" w:eastAsia="Arial" w:hAnsi="Arial"/>
          <w:sz w:val="19"/>
          <w:szCs w:val="19"/>
          <w:color w:val="231F20"/>
        </w:rPr>
      </w:pPr>
    </w:p>
    <w:p>
      <w:pPr>
        <w:ind w:left="800" w:hanging="340"/>
        <w:spacing w:after="0" w:line="252" w:lineRule="auto"/>
        <w:tabs>
          <w:tab w:leader="none" w:pos="800" w:val="left"/>
        </w:tabs>
        <w:numPr>
          <w:ilvl w:val="0"/>
          <w:numId w:val="13"/>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Proprietary production of stereopure oligonucleotides and scalable manufacturing</w:t>
      </w:r>
      <w:r>
        <w:rPr>
          <w:rFonts w:ascii="Times New Roman" w:cs="Times New Roman" w:eastAsia="Times New Roman" w:hAnsi="Times New Roman"/>
          <w:sz w:val="19"/>
          <w:szCs w:val="19"/>
          <w:color w:val="231F20"/>
        </w:rPr>
        <w:t>. Our scientists have developed</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expertise in the techniques required to produce adequate supplies of chemically modified stereopure oligonucleotide materials for our preclinical and clinical activities. In addition, we believe we have the intellectual property position and know-how necessary to protect, advance and scale these production processes to support our clinical trials and potential future commercial supply. We believe that our scalable synthesis processes will allow us to meet demand for current good manufacturing practices (“cGMP”)-qualified clinical trial supply, as well as the potential for commercial manufacturing at a cost of goods and potential cost-per-patient that are comparable to stereorandom oligonucleotides.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Proprietary Chemistry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Backbone Stereochemistry</w:t>
      </w:r>
    </w:p>
    <w:p>
      <w:pPr>
        <w:spacing w:after="0" w:line="11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9"/>
          <w:szCs w:val="19"/>
          <w:color w:val="231F20"/>
        </w:rPr>
        <w:t xml:space="preserve">In our foundational </w:t>
      </w:r>
      <w:r>
        <w:rPr>
          <w:rFonts w:ascii="Times New Roman" w:cs="Times New Roman" w:eastAsia="Times New Roman" w:hAnsi="Times New Roman"/>
          <w:sz w:val="19"/>
          <w:szCs w:val="19"/>
          <w:i w:val="1"/>
          <w:iCs w:val="1"/>
          <w:color w:val="231F20"/>
        </w:rPr>
        <w:t>Nature Biotechnology</w:t>
      </w:r>
      <w:r>
        <w:rPr>
          <w:rFonts w:ascii="Times New Roman" w:cs="Times New Roman" w:eastAsia="Times New Roman" w:hAnsi="Times New Roman"/>
          <w:sz w:val="19"/>
          <w:szCs w:val="19"/>
          <w:color w:val="231F20"/>
        </w:rPr>
        <w:t xml:space="preserve"> paper (Iwamoto N, et al. Nature Biotechnol. 2017;35(9):845-851), we described our studies using our proprietary chemistry to design and synthesize stereopure oligonucleotides and oligonucleotide mixtures based on mipomersen. Mipomersen, an oligonucleotide containing 20 nucleotides and 19 PS modifications, is synthesized by traditional oligonucleotide chemistry; thus, it is a mixture of over 500,000 different stereoisomers (2</w:t>
      </w:r>
      <w:r>
        <w:rPr>
          <w:rFonts w:ascii="Times New Roman" w:cs="Times New Roman" w:eastAsia="Times New Roman" w:hAnsi="Times New Roman"/>
          <w:sz w:val="25"/>
          <w:szCs w:val="25"/>
          <w:color w:val="231F20"/>
          <w:vertAlign w:val="superscript"/>
        </w:rPr>
        <w:t>19</w:t>
      </w:r>
      <w:r>
        <w:rPr>
          <w:rFonts w:ascii="Times New Roman" w:cs="Times New Roman" w:eastAsia="Times New Roman" w:hAnsi="Times New Roman"/>
          <w:sz w:val="19"/>
          <w:szCs w:val="19"/>
          <w:color w:val="231F20"/>
        </w:rPr>
        <w:t xml:space="preserve"> = 524,288). We rationally designed and synthesized individual stereoisomers of mipomersen, each having position-specific and distinct stereochemistry, and conducted studies comparing these defined stereoisomers with the mipomersen stereomixture. These and other preclinical studies have demonstrated that stereochemistry impacts pharmacology, and that by controlling stereochemistry, we can tune multiple aspects of pharmacology, including stability, catalytic activity, and efficacy.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15</w:t>
      </w:r>
    </w:p>
    <w:p>
      <w:pPr>
        <w:sectPr>
          <w:pgSz w:w="11880" w:h="15480" w:orient="portrait"/>
          <w:cols w:equalWidth="0" w:num="1">
            <w:col w:w="10440"/>
          </w:cols>
          <w:pgMar w:left="700" w:top="977" w:right="740" w:bottom="213" w:gutter="0" w:footer="0" w:header="0"/>
        </w:sectPr>
      </w:pPr>
    </w:p>
    <w:bookmarkStart w:id="21" w:name="page22"/>
    <w:bookmarkEnd w:id="21"/>
    <w:p>
      <w:pPr>
        <w:ind w:right="100"/>
        <w:spacing w:after="0" w:line="286" w:lineRule="auto"/>
        <w:rPr>
          <w:sz w:val="20"/>
          <w:szCs w:val="20"/>
          <w:color w:val="auto"/>
        </w:rPr>
      </w:pPr>
      <w:r>
        <w:rPr>
          <w:rFonts w:ascii="Times New Roman" w:cs="Times New Roman" w:eastAsia="Times New Roman" w:hAnsi="Times New Roman"/>
          <w:sz w:val="19"/>
          <w:szCs w:val="19"/>
          <w:color w:val="231F20"/>
        </w:rPr>
        <w:t>We have subsequently published multiple additional manuscripts that provide robust evidence that stereopure oligonucleotides can be developed to have superior pharmacology to stereorandom oligonucleotides.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PN Backbone Chemistry Modifications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231F20"/>
        </w:rPr>
        <w:t>Our initial investigations into the impact of backbone chemistry and stereochemistry on oligonucleotide pharmacology focused on the widely used phosphodiester (“PO”) and phosphorothioate (“PS”) backbones. In 2020, we introduced PN chemistry to our repertoire of backbone modifications; this backbone modification replaces a non-bridging oxygen atom in a phosphodiester linkage with a nitrogen-containing moiety.</w:t>
      </w:r>
    </w:p>
    <w:p>
      <w:pPr>
        <w:spacing w:after="0" w:line="6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231F20"/>
        </w:rPr>
        <w:t>We have incorporated these PN modifications – specifically phosphoryl guanidine – into oligonucleotide compounds. As with PS modifications, PN modifications are chiral, and we have the capacity to control PN backbone stereochemistry. Unlike PS modifications, PN modifications are neutral, meaning that the negative charge of the oligonucleotide is reduced with every PN modification added to the backbone. In preclinical experiments, we have demonstrated that judicious use of PN backbone chemistry modifications in stereopure oligonucleotides have generally increased potency, tissue exposure and durability of effect across our RNA editing, siRNA, splicing, and antisense modalities.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231F20"/>
        </w:rPr>
        <w:t>We have also investigated the impact of PN chemistry on cellular uptake and trafficking using gymnotic or free uptake conditions. In the graph labeled one below, the data demonstrate the cellular uptake improvement for AIMers containing PN chemistry, shown in light blue, compared to those without PN chemistry, shown in dark blue. To the right, in the graph labeled two, the data demonstrate the proportion of AIMer released from endosomes inside the cell. The addition of PN chemistry drove a greater than 2-fold increase in cellular uptake and an over 4-fold increase in endosomal release compared with AIMers lacking PN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128270</wp:posOffset>
            </wp:positionV>
            <wp:extent cx="5349240" cy="3039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5349240" cy="303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Below, we also demonstrated the benefits of PN chemistry on cellular residency, with a higher percentage of PN- containing molecules persisting within the cell, a 5-fold benefit on nuclear uptake, and ultimately, evidence this modification leads to a dramatic 30-fold improvement in target engagement in a cell free lysate system.</w:t>
      </w:r>
    </w:p>
    <w:p>
      <w:pPr>
        <w:sectPr>
          <w:pgSz w:w="11880" w:h="15480" w:orient="portrait"/>
          <w:cols w:equalWidth="0" w:num="1">
            <w:col w:w="10480"/>
          </w:cols>
          <w:pgMar w:left="700" w:top="963" w:right="70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16</w:t>
      </w:r>
    </w:p>
    <w:p>
      <w:pPr>
        <w:sectPr>
          <w:pgSz w:w="11880" w:h="15480" w:orient="portrait"/>
          <w:cols w:equalWidth="0" w:num="1">
            <w:col w:w="10480"/>
          </w:cols>
          <w:pgMar w:left="700" w:top="963" w:right="700" w:bottom="213"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666115</wp:posOffset>
            </wp:positionH>
            <wp:positionV relativeFrom="page">
              <wp:posOffset>623570</wp:posOffset>
            </wp:positionV>
            <wp:extent cx="6209030" cy="3160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209030" cy="316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RNA editing – AIMer designs</w:t>
      </w:r>
    </w:p>
    <w:p>
      <w:pPr>
        <w:spacing w:after="0" w:line="237" w:lineRule="exact"/>
        <w:rPr>
          <w:sz w:val="20"/>
          <w:szCs w:val="20"/>
          <w:color w:val="auto"/>
        </w:rPr>
      </w:pPr>
    </w:p>
    <w:p>
      <w:pPr>
        <w:ind w:right="80" w:firstLine="1"/>
        <w:spacing w:after="0" w:line="251" w:lineRule="auto"/>
        <w:rPr>
          <w:sz w:val="20"/>
          <w:szCs w:val="20"/>
          <w:color w:val="auto"/>
        </w:rPr>
      </w:pPr>
      <w:r>
        <w:rPr>
          <w:rFonts w:ascii="Times New Roman" w:cs="Times New Roman" w:eastAsia="Times New Roman" w:hAnsi="Times New Roman"/>
          <w:sz w:val="19"/>
          <w:szCs w:val="19"/>
          <w:color w:val="231F20"/>
        </w:rPr>
        <w:t xml:space="preserve">With PRISM, we have generated stereopure AIMers, optimized for chemistry and stereochemistry, which promote RNA editing with endogenous ADAR enzymes in cellular models. We have demonstrated that the addition of PN chemistry substantially improves both potency and editing efficiency. Our foundational RNA editing paper published in </w:t>
      </w:r>
      <w:r>
        <w:rPr>
          <w:rFonts w:ascii="Times New Roman" w:cs="Times New Roman" w:eastAsia="Times New Roman" w:hAnsi="Times New Roman"/>
          <w:sz w:val="19"/>
          <w:szCs w:val="19"/>
          <w:i w:val="1"/>
          <w:iCs w:val="1"/>
          <w:color w:val="231F20"/>
        </w:rPr>
        <w:t>Nature Biotechnology</w:t>
      </w:r>
      <w:r>
        <w:rPr>
          <w:rFonts w:ascii="Times New Roman" w:cs="Times New Roman" w:eastAsia="Times New Roman" w:hAnsi="Times New Roman"/>
          <w:sz w:val="19"/>
          <w:szCs w:val="19"/>
          <w:color w:val="231F20"/>
        </w:rPr>
        <w:t xml:space="preserve"> (Monian P, et. Al., 2022; doi.org/10.1038/s41587-022-01225-1) was the first scientific publication to report successful RNA base editing in NHPs using only single-stranded, GalNAc-conjugated oligonucleotides. In this manuscript, we demonstrated efficient RNA editing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with our AIMers across a variety of cell lines, including non-human primate (“NHP”) and human primary hepatocytes. We observed potent, dose-dependent RNA editing with three chemically distinct stereopure AIMers (ACTB 1, ACTB 2, ACTB 3) via GalNAc-mediated uptake.</w:t>
      </w:r>
    </w:p>
    <w:p>
      <w:pPr>
        <w:spacing w:after="0" w:line="7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231F20"/>
        </w:rPr>
        <w:t xml:space="preserve">We next evaluated these same GalNAc-conjugated ACTB-editing AIMers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in NHPs. For this study, we dosed NHPs subcutaneously once a day for five days. We took liver biopsy samples at baseline at two days and 45 days after the last dose to evaluate editing. We detected up to 50% editing two days after the last dose as compared to a baseline of 0% editing. These editing results were durable: we continued to see significant editing 45 days after the last dose. The PK data confirmed that a significant amount of AIMer was still detectable in the liver at that time. To assess off- target editing for the whole transcriptome, a mutation-calling software was used to call edit sites. From this analysis, we observed nominal off-target editing across the transcriptome. Sites where potential off-target editing occurred mapped predominantly to non -coding regions of the transcriptome and had either low read coverage in the analysis or occurred at low percentages of less than 10%, indicating that these are relatively rare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Base Modifications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231F20"/>
        </w:rPr>
        <w:t>In 2023, we introduced base modifications (</w:t>
      </w:r>
      <w:r>
        <w:rPr>
          <w:rFonts w:ascii="Times New Roman" w:cs="Times New Roman" w:eastAsia="Times New Roman" w:hAnsi="Times New Roman"/>
          <w:sz w:val="19"/>
          <w:szCs w:val="19"/>
          <w:i w:val="1"/>
          <w:iCs w:val="1"/>
          <w:color w:val="231F20"/>
        </w:rPr>
        <w:t>e.g.,</w:t>
      </w:r>
      <w:r>
        <w:rPr>
          <w:rFonts w:ascii="Times New Roman" w:cs="Times New Roman" w:eastAsia="Times New Roman" w:hAnsi="Times New Roman"/>
          <w:sz w:val="19"/>
          <w:szCs w:val="19"/>
          <w:color w:val="231F20"/>
        </w:rPr>
        <w:t xml:space="preserve"> N-3-uridine, N3U) to our repertoire of chemical modifications that allow us to tune the activity of oligonucleotides to the biological modality. For example, we have shown that the introduction of an N3U at the “orphan position” of an RNA editing oligonucleotide, which is across from the edit site in the transcript, enhances RNA editing across a diversity of sequences in preclinical studies.</w:t>
      </w:r>
    </w:p>
    <w:p>
      <w:pPr>
        <w:spacing w:after="0" w:line="6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 xml:space="preserve">In our 2024 </w:t>
      </w:r>
      <w:r>
        <w:rPr>
          <w:rFonts w:ascii="Times New Roman" w:cs="Times New Roman" w:eastAsia="Times New Roman" w:hAnsi="Times New Roman"/>
          <w:sz w:val="19"/>
          <w:szCs w:val="19"/>
          <w:i w:val="1"/>
          <w:iCs w:val="1"/>
          <w:color w:val="231F20"/>
        </w:rPr>
        <w:t>Nucleic Acids Research</w:t>
      </w:r>
      <w:r>
        <w:rPr>
          <w:rFonts w:ascii="Times New Roman" w:cs="Times New Roman" w:eastAsia="Times New Roman" w:hAnsi="Times New Roman"/>
          <w:sz w:val="19"/>
          <w:szCs w:val="19"/>
          <w:color w:val="231F20"/>
        </w:rPr>
        <w:t xml:space="preserve"> paper (Lu et al., 2024 Nuc Acid Res; doi.org/10.1093/nar/gkae681 N), we described the development of new AIMer designs (AIMer-D) with base modifications and sequence, sugar and backbone modifications that improve RNA editing efficiency over our previous design (AIMer-S). AIMers incorporating the AIMer-</w:t>
      </w:r>
      <w:r>
        <w:rPr>
          <w:rFonts w:ascii="PMingLiU" w:cs="PMingLiU" w:eastAsia="PMingLiU" w:hAnsi="PMingLiU"/>
          <w:sz w:val="19"/>
          <w:szCs w:val="19"/>
          <w:color w:val="231F20"/>
        </w:rPr>
        <w:t>'SDWWHUQRIEDFNERQHDQG </w:t>
      </w:r>
      <w:r>
        <w:rPr>
          <w:rFonts w:ascii="Times New Roman" w:cs="Times New Roman" w:eastAsia="Times New Roman" w:hAnsi="Times New Roman"/>
          <w:sz w:val="19"/>
          <w:szCs w:val="19"/>
          <w:color w:val="231F20"/>
        </w:rPr>
        <w:t xml:space="preserve"> sugar modifications supported enhanced editing efficiency across multiple sequences. Further efficiency gains were achieved through incorporation of N3U in place of cytidine (C) in the orphan position. Molecular modeling suggested that N3U might enhance ADAR catalytic activity by stabilizing the AIMer- ADAR interaction and potentially reducing the energy required to flip the target base into the active site. Supporting this hypothesis, AIMers containing N3U consistently enhanced RNA editing over those containing C across multiple sequences and multiple nearest neighbor sequence combinations. These modifications to AIMers improved RNA editing both </w:t>
      </w:r>
      <w:r>
        <w:rPr>
          <w:rFonts w:ascii="Times New Roman" w:cs="Times New Roman" w:eastAsia="Times New Roman" w:hAnsi="Times New Roman"/>
          <w:sz w:val="19"/>
          <w:szCs w:val="19"/>
          <w:i w:val="1"/>
          <w:iCs w:val="1"/>
          <w:color w:val="231F20"/>
        </w:rPr>
        <w:t xml:space="preserve">in vitro </w:t>
      </w:r>
      <w:r>
        <w:rPr>
          <w:rFonts w:ascii="Times New Roman" w:cs="Times New Roman" w:eastAsia="Times New Roman" w:hAnsi="Times New Roman"/>
          <w:sz w:val="19"/>
          <w:szCs w:val="19"/>
          <w:color w:val="231F20"/>
        </w:rPr>
        <w:t>and in</w:t>
      </w:r>
      <w:r>
        <w:rPr>
          <w:rFonts w:ascii="Times New Roman" w:cs="Times New Roman" w:eastAsia="Times New Roman" w:hAnsi="Times New Roman"/>
          <w:sz w:val="19"/>
          <w:szCs w:val="19"/>
          <w:i w:val="1"/>
          <w:iCs w:val="1"/>
          <w:color w:val="231F20"/>
        </w:rPr>
        <w:t xml:space="preserve"> vivo</w:t>
      </w:r>
      <w:r>
        <w:rPr>
          <w:rFonts w:ascii="Times New Roman" w:cs="Times New Roman" w:eastAsia="Times New Roman" w:hAnsi="Times New Roman"/>
          <w:sz w:val="19"/>
          <w:szCs w:val="19"/>
          <w:color w:val="231F20"/>
        </w:rPr>
        <w:t>.</w:t>
      </w:r>
    </w:p>
    <w:p>
      <w:pPr>
        <w:sectPr>
          <w:pgSz w:w="11880" w:h="15480" w:orient="portrait"/>
          <w:cols w:equalWidth="0" w:num="1">
            <w:col w:w="10460"/>
          </w:cols>
          <w:pgMar w:left="700" w:top="1440" w:right="720" w:bottom="213"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17</w:t>
      </w:r>
    </w:p>
    <w:p>
      <w:pPr>
        <w:sectPr>
          <w:pgSz w:w="11880" w:h="15480" w:orient="portrait"/>
          <w:cols w:equalWidth="0" w:num="1">
            <w:col w:w="10460"/>
          </w:cols>
          <w:pgMar w:left="700" w:top="1440" w:right="720" w:bottom="213" w:gutter="0" w:footer="0" w:header="0"/>
          <w:type w:val="continuous"/>
        </w:sectPr>
      </w:pPr>
    </w:p>
    <w:bookmarkStart w:id="23" w:name="page24"/>
    <w:bookmarkEnd w:id="23"/>
    <w:p>
      <w:pPr>
        <w:ind w:right="160"/>
        <w:spacing w:after="0" w:line="286" w:lineRule="auto"/>
        <w:rPr>
          <w:sz w:val="20"/>
          <w:szCs w:val="20"/>
          <w:color w:val="auto"/>
        </w:rPr>
      </w:pPr>
      <w:r>
        <w:rPr>
          <w:rFonts w:ascii="Times New Roman" w:cs="Times New Roman" w:eastAsia="Times New Roman" w:hAnsi="Times New Roman"/>
          <w:sz w:val="19"/>
          <w:szCs w:val="19"/>
          <w:color w:val="231F20"/>
        </w:rPr>
        <w:t>We continuously explore how new modifications and new combinations of modifications from our expansive repertoire can redefine what’s possible with oligonucleotide therapeutics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RNAi - SpiNA design</w:t>
      </w:r>
    </w:p>
    <w:p>
      <w:pPr>
        <w:spacing w:after="0" w:line="12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231F20"/>
        </w:rPr>
        <w:t xml:space="preserve">We have applied our stereopure PS and PN modifications to the siRNA modality using double-stranded siRNAs. In April 2023, we announced the publication of preclinical data for our novel siRNA formats in the journal of </w:t>
      </w:r>
      <w:r>
        <w:rPr>
          <w:rFonts w:ascii="Times New Roman" w:cs="Times New Roman" w:eastAsia="Times New Roman" w:hAnsi="Times New Roman"/>
          <w:sz w:val="19"/>
          <w:szCs w:val="19"/>
          <w:i w:val="1"/>
          <w:iCs w:val="1"/>
          <w:color w:val="231F20"/>
        </w:rPr>
        <w:t>Nucleic Acids Research</w:t>
      </w:r>
      <w:r>
        <w:rPr>
          <w:rFonts w:ascii="Times New Roman" w:cs="Times New Roman" w:eastAsia="Times New Roman" w:hAnsi="Times New Roman"/>
          <w:sz w:val="19"/>
          <w:szCs w:val="19"/>
          <w:color w:val="231F20"/>
        </w:rPr>
        <w:t xml:space="preserve">. The preclinical data demonstrated unprecedented Argonaute2 (“Ago2”) loading following administration of single subcutaneous GalNAc-siRNA doses, leading to improved potency and durability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in mice versus comparator siRNA formats.</w:t>
      </w:r>
    </w:p>
    <w:p>
      <w:pPr>
        <w:spacing w:after="0" w:line="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231F20"/>
        </w:rPr>
        <w:t>We continue to improve upon our GalNAc- siRNA with our SpiNA designs, which enable improved RNAi-mediated silencing by further increasing Ago2 loading, leading to improved potency and durability compared to our earlier siRNA designs (NAR) and industry benchmark (Ref, NAR: Liu et al., 2023 Nucleic Acids Research doi: 10.1093/nar/gkad268). As shown in the figure below, we have seen improvements in Ttr mRNA silencing in mice with our GalNAc-conjugated siRNAs following a single dose at 2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125730</wp:posOffset>
            </wp:positionV>
            <wp:extent cx="2310130" cy="180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231013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231F20"/>
        </w:rPr>
        <w:t>All siRNAs have the same sequence and 2’-modifications as the literature reference construct with state-of-the-art siRNA chemistry</w:t>
      </w:r>
    </w:p>
    <w:p>
      <w:pPr>
        <w:spacing w:after="0" w:line="23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Compared to reference and our previous published siRNA constructs, SpiNA designs have also substantially improved the potency and duration of silencing, and we have observed up to 95% Ttr mRNA knockdown in mice at least up to 8 weeks after a single dose as shown in the figure below on the left. We have demonstrated that the shifts in potency and duration of activity of SpiNA is driven by increases in both Ago2 loading and PK, with SpiNA driving up to ten-fold improvement in Ago2 versus a reference compound, as shown below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6652260" cy="1898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652260"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Left: Single subcutaneous dose of 0.5 mg/kg in C57BL/6 mice; Middle: single subcutaneous dose of 2 mg/kg in C57BL/6 mice; Right: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single subcutaneous dose of 0.5 mg/kg in C57BL/6 mice</w:t>
      </w:r>
    </w:p>
    <w:p>
      <w:pPr>
        <w:sectPr>
          <w:pgSz w:w="11880" w:h="15480" w:orient="portrait"/>
          <w:cols w:equalWidth="0" w:num="1">
            <w:col w:w="10460"/>
          </w:cols>
          <w:pgMar w:left="700" w:top="963" w:right="72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18</w:t>
      </w:r>
    </w:p>
    <w:p>
      <w:pPr>
        <w:sectPr>
          <w:pgSz w:w="11880" w:h="15480" w:orient="portrait"/>
          <w:cols w:equalWidth="0" w:num="1">
            <w:col w:w="10460"/>
          </w:cols>
          <w:pgMar w:left="700" w:top="963" w:right="720" w:bottom="213"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9"/>
          <w:szCs w:val="19"/>
          <w:b w:val="1"/>
          <w:bCs w:val="1"/>
          <w:color w:val="231F20"/>
        </w:rPr>
        <w:t>Our Collaborations</w:t>
      </w:r>
    </w:p>
    <w:p>
      <w:pPr>
        <w:spacing w:after="0" w:line="1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231F20"/>
        </w:rPr>
        <w:t>Our business strategy is to develop and commercialize a broad pipeline of RNA medicines. As part of this strategy, we have entered into, and may enter into new partnership and collaboration agreements as a means of advancing our own therapeutic programs and maximizing their potential for patients, investing in third-party technologies to further strengthen PRISM and leveraging external partnerships to extend the reach of PRISM into therapeutic areas where our platform demonstrates a competitive advantage.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GSK</w:t>
      </w:r>
    </w:p>
    <w:p>
      <w:pPr>
        <w:spacing w:after="0" w:line="10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9"/>
          <w:szCs w:val="19"/>
          <w:color w:val="231F20"/>
        </w:rPr>
        <w:t>On December 13, 2022, Wave Life Sciences USA, Inc. ("Wave USA") and Wave Life Sciences UK Limited ("Wave UK"), two of our direct, wholly-owned subsidiaries entered into a Collaboration and License Agreement (the “GSK Collaboration Agreement”) with GSK, which became effective on January 27, 2023. Pursuant to the GSK Collaboration Agreement, we and GSK have agreed to collaborate on the research, development, and commercialization of oligonucleotide therapeutics. The discovery collaboration has an initial four-year research term and combines our proprietary discovery and drug development platform, PRISM</w:t>
      </w:r>
      <w:r>
        <w:rPr>
          <w:rFonts w:ascii="Times New Roman" w:cs="Times New Roman" w:eastAsia="Times New Roman" w:hAnsi="Times New Roman"/>
          <w:sz w:val="25"/>
          <w:szCs w:val="25"/>
          <w:color w:val="231F20"/>
          <w:vertAlign w:val="superscript"/>
        </w:rPr>
        <w:t>TM</w:t>
      </w:r>
      <w:r>
        <w:rPr>
          <w:rFonts w:ascii="Times New Roman" w:cs="Times New Roman" w:eastAsia="Times New Roman" w:hAnsi="Times New Roman"/>
          <w:sz w:val="19"/>
          <w:szCs w:val="19"/>
          <w:color w:val="231F20"/>
        </w:rPr>
        <w:t>, with GSK’s novel genetic insights and its global development and commercial capabilities. In addition, the GSK Collaboration Agreement originally contained a global exclusive license to GSK for WVE-006, our first-in -class A-to-I(G) RNA editing candidate for alpha-1 antitrypsin deficiency, and in February 2026, we announced that we had regained full rights to WVE-006 from GSK.</w:t>
      </w:r>
    </w:p>
    <w:p>
      <w:pPr>
        <w:spacing w:after="0" w:line="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Under the terms of the GSK Collaboration Agreement, we received an upfront payment of $170.0 million, which included a cash payment of $120.0 million and a $50.0 million equity investment. In addition, assuming GSK’s eight collaboration programs achieve initiation, development, launch, and commercialization milestones, we would be eligible to receive up to $2.8 billion in cash milestone payments, which are described in the following paragraphs.</w:t>
      </w:r>
    </w:p>
    <w:p>
      <w:pPr>
        <w:spacing w:after="0" w:line="6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231F20"/>
        </w:rPr>
        <w:t>The collaboration currently includes (1) a discovery collaboration which enables us to advance up to three programs leveraging targets informed by GSK’s novel genetic insights; and (2) a discovery collaboration which enables GSK to advance up to eight programs leveraging PRISM and our oligonucleotide expertise and discovery capabilities. The collaboration will enable us to continue building a pipeline of transformational oligonucleotide-based therapeutics and unlock new areas of disease biology.</w:t>
      </w:r>
    </w:p>
    <w:p>
      <w:pPr>
        <w:spacing w:after="0" w:line="6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231F20"/>
        </w:rPr>
        <w:t>The GSK Collaboration Agreement includes options to extend the research term for up to three additional years, which would increase the number of programs available to both parties. We will lead all preclinical research for GSK and our collaboration programs up to IND-enabling studies. We will lead IND-enabling studies, clinical development and commercialization for our collaboration programs. GSK collaboration programs will transfer to GSK for IND-enabling studies, clinical development, and commercialization. Assuming GSK advances eight programs under the collaboration that achieve initiation, development, launch and commercial milestones, we would be eligible to receive up to $1.2 billion in initiation, development, and launch milestones and up to $1.6 billion in commercialization milestones, as well as tiered royalties into the low-teens as a percentage of net sales. Assuming we advance our collaboration programs through the achievement of pre-determined milestones, GSK would be eligible to receive royalty payments and commercial milestones from us.</w:t>
      </w:r>
    </w:p>
    <w:p>
      <w:pPr>
        <w:spacing w:after="0" w:line="7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9"/>
          <w:szCs w:val="19"/>
          <w:color w:val="231F20"/>
        </w:rPr>
        <w:t>Under the GSK Collaboration Agreement, each party grants to the other party certain licenses to the collaboration products resulting from the parties’ respective collaboration programs as well as specific intellectual property licenses to enable the other party to perform its obligations and exercise its rights under the GSK Collaboration Agreement, including license grants to enable each party to conduct research, development, and commercialization activities pursuant to the terms of the GSK Collaboration Agreement. The parties’ exclusivity obligations to each other are limited on a target-by-target basis with regard to targets in the collaboration.</w:t>
      </w:r>
    </w:p>
    <w:p>
      <w:pPr>
        <w:spacing w:after="0" w:line="6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9"/>
          <w:szCs w:val="19"/>
          <w:color w:val="231F20"/>
        </w:rPr>
        <w:t>The GSK Collaboration Agreement,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 The GSK Collaboration Agreement contains customary termination provisions, including certain termination rights for convenience, breach, and others, including on a target/program basis or of the GSK Collaboration Agreement in its entirety.</w:t>
      </w:r>
    </w:p>
    <w:p>
      <w:pPr>
        <w:spacing w:after="0" w:line="6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9"/>
          <w:szCs w:val="19"/>
          <w:color w:val="231F20"/>
        </w:rPr>
        <w:t>With respect to the $50.0 million equity investment referred to above, simultaneously with our entry into the GSK Collaboration Agreement, we entered into a share purchase agreement with Glaxo Group Limited (“GGL”), an affiliate of GSK, pursuant to which we agreed to sell to GGL 10,683,761 of our ordinary shares at a purchase price of $4.68 per share, for an aggregate purchase price of approximately $50.0 million (the “GSK Equity Investment”). The GSK Equity Investment closed on January 26, 2023. The shares purchased by GGL in the GSK Equity Investment carry certain registration rights, customary for transactions of this kind.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Asuragen</w:t>
      </w:r>
    </w:p>
    <w:p>
      <w:pPr>
        <w:spacing w:after="0" w:line="11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9"/>
          <w:szCs w:val="19"/>
          <w:color w:val="231F20"/>
        </w:rPr>
        <w:t>In November 2019, we entered into an agreement with Asuragen (which was acquired by Bio-Techne Corporation in April 2021), a molecular diagnostics company, for the development and potential commercialization of companion diagnostics for our investigational allele-selective therapeutic programs targeting HD. This collaboration uses Asuragen’s market-leading repetitive sequence diagnostic expertise to provide scalable SNP phasing to support development programs and future commercialization at a global level. Asuragen has leveraged its AmplideX® PCR technology to develop companion diagnostic tests designed to size and</w:t>
      </w:r>
    </w:p>
    <w:p>
      <w:pPr>
        <w:sectPr>
          <w:pgSz w:w="11880" w:h="15480" w:orient="portrait"/>
          <w:cols w:equalWidth="0" w:num="1">
            <w:col w:w="10480"/>
          </w:cols>
          <w:pgMar w:left="700" w:top="1310" w:right="700" w:bottom="828" w:gutter="0" w:footer="0" w:header="0"/>
        </w:sectPr>
      </w:pPr>
    </w:p>
    <w:bookmarkStart w:id="25" w:name="page26"/>
    <w:bookmarkEnd w:id="25"/>
    <w:p>
      <w:pPr>
        <w:ind w:right="20"/>
        <w:spacing w:after="0" w:line="286" w:lineRule="auto"/>
        <w:rPr>
          <w:sz w:val="20"/>
          <w:szCs w:val="20"/>
          <w:color w:val="auto"/>
        </w:rPr>
      </w:pPr>
      <w:r>
        <w:rPr>
          <w:rFonts w:ascii="Times New Roman" w:cs="Times New Roman" w:eastAsia="Times New Roman" w:hAnsi="Times New Roman"/>
          <w:sz w:val="19"/>
          <w:szCs w:val="19"/>
          <w:color w:val="231F20"/>
        </w:rPr>
        <w:t>phase HTT CAG repeats with the SNPs targeted by WVE- 003, our HD program. These tests are designed to aid clinicians in selecting HD patients by identifying the SNPs that are in phase with the CAG-expanded allele.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Manufacturing</w:t>
      </w:r>
    </w:p>
    <w:p>
      <w:pPr>
        <w:spacing w:after="0" w:line="12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231F20"/>
        </w:rPr>
        <w:t>To provide internal cGMP manufacturing capabilities of drug substance and increase control and visibility of our drug product supply chain, we entered into a lease in September 2016 for a multi-use facility of approximately 90,000 square feet in Lexington, Massachusetts and initiated the build out of manufacturing space and related capabilities. Through our internal manufacturing, we have the capacity to support multiple discovery-, preclinical -, and early clinical-stage programs and have the established expertise to efficiently conduct manufacturing runs for oligonucleotides across a spectrum of modalities. In addition to manufacturing space, the Lexington facility includes additional laboratory and office space. This facility supplements our existing Cambridge, Massachusetts laboratory and office space headquarters, enhances our ability to secure drug substance for current and future development activities and may provide commercial-scale manufacturing capabilities. In July 2017, we took occupancy of the Lexington facility and began manufacturing production in the fourth quarter of 2017.</w:t>
      </w:r>
    </w:p>
    <w:p>
      <w:pPr>
        <w:spacing w:after="0" w:line="78"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9"/>
          <w:szCs w:val="19"/>
          <w:color w:val="231F20"/>
        </w:rPr>
        <w:t>We believe that leveraging our internal manufacturing capabilities along with expertise from CMOs facilitates our growth and enhances our ability to secure drug substance for current and future research, clinical and early-stage commercial development activities. We believe that the addition of our internal cGMP manufacturing capabilities, together with the supply capacity we have established externally, will be sufficient to meet our anticipated manufacturing needs for the next several years. We monitor the availability of capacity for the manufacture of drug substance and drug product and believe that our supply agreements with our contract manufacturers and the lead times for new supply agreements would allow us to access additional capacity if needed. We believe that our product candidates can be manufactured at scale and with production and procurement efficiencies that will result in commercially competitive costs.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Intellectual Property</w:t>
      </w:r>
    </w:p>
    <w:p>
      <w:pPr>
        <w:spacing w:after="0" w:line="1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We believe that we have a strong intellectual property position relating to the development and commercialization of our stereopure oligonucleotides.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for both proprietary methods and reagents, as well as various chemical methodologies that enable production of such stereopure oligonucleotide compositions. In addition, our portfolio includes filings designed to protect methods of using stereopure oligonucleotide compositions and filings designed to protect particular stereopure oligonucleotide products, such as those having a particular sequence, pattern of nucleoside and/or backbone modification, pattern of backbone linkages and/or pattern of backbone chiral centers.</w:t>
      </w:r>
    </w:p>
    <w:p>
      <w:pPr>
        <w:spacing w:after="0" w:line="7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231F20"/>
        </w:rPr>
        <w:t>We own or have rights to worldwide patent filings that protect our proprietary technologies for making stereopure oligonucleotide compositions, and that also protect the compositions themselves, as well as methods of using them, including in the treatment of diseases. Our portfolio includes multiple issued patents, including in major market jurisdictions such as the United States, Europe and Japan. We also have applications pending in multiple jurisdictions around the world, including these major market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Synthetic Methodologies</w:t>
      </w:r>
    </w:p>
    <w:p>
      <w:pPr>
        <w:spacing w:after="0" w:line="119" w:lineRule="exact"/>
        <w:rPr>
          <w:sz w:val="20"/>
          <w:szCs w:val="20"/>
          <w:color w:val="auto"/>
        </w:rPr>
      </w:pPr>
    </w:p>
    <w:p>
      <w:pPr>
        <w:ind w:right="720"/>
        <w:spacing w:after="0" w:line="289" w:lineRule="auto"/>
        <w:rPr>
          <w:sz w:val="20"/>
          <w:szCs w:val="20"/>
          <w:color w:val="auto"/>
        </w:rPr>
      </w:pPr>
      <w:r>
        <w:rPr>
          <w:rFonts w:ascii="Times New Roman" w:cs="Times New Roman" w:eastAsia="Times New Roman" w:hAnsi="Times New Roman"/>
          <w:sz w:val="19"/>
          <w:szCs w:val="19"/>
          <w:color w:val="231F20"/>
        </w:rPr>
        <w:t>Our patent portfolio includes multiple families that protect synthetic methodologies and/or reagents for generating stereopure oligonucleotide compositions.</w:t>
      </w:r>
    </w:p>
    <w:p>
      <w:pPr>
        <w:spacing w:after="0" w:line="3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9"/>
          <w:szCs w:val="19"/>
          <w:color w:val="231F20"/>
        </w:rPr>
        <w:t>Certain such families have 20-year expiration dates that range from 2029 to at least 2045. Some of these families have issued patents in several jurisdictions, including in major market jurisdictions such as the United States, Europe, and/or Japan, have pending applications in multiple jurisdictions including in these major market jurisdictions, or are in the international stage.</w:t>
      </w:r>
    </w:p>
    <w:p>
      <w:pPr>
        <w:spacing w:after="0" w:line="58" w:lineRule="exact"/>
        <w:rPr>
          <w:sz w:val="20"/>
          <w:szCs w:val="20"/>
          <w:color w:val="auto"/>
        </w:rPr>
      </w:pPr>
    </w:p>
    <w:p>
      <w:pPr>
        <w:ind w:right="1020"/>
        <w:spacing w:after="0" w:line="289" w:lineRule="auto"/>
        <w:rPr>
          <w:sz w:val="20"/>
          <w:szCs w:val="20"/>
          <w:color w:val="auto"/>
        </w:rPr>
      </w:pPr>
      <w:r>
        <w:rPr>
          <w:rFonts w:ascii="Times New Roman" w:cs="Times New Roman" w:eastAsia="Times New Roman" w:hAnsi="Times New Roman"/>
          <w:sz w:val="19"/>
          <w:szCs w:val="19"/>
          <w:color w:val="231F20"/>
        </w:rPr>
        <w:t>We also co-own with the University of Tokyo filings that are directed to certain methods and/or reagents for synthesizing oligonucleotides; their 20-year expiration dates fall in 2031.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Stereopure Oligonucleotide Compositions</w:t>
      </w:r>
    </w:p>
    <w:p>
      <w:pPr>
        <w:spacing w:after="0" w:line="11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9"/>
          <w:szCs w:val="19"/>
          <w:color w:val="231F20"/>
        </w:rPr>
        <w:t>Certain of our patent filings protect stereopure compositions, particularly of therapeutically relevant oligonucleotides. Some such filings are directed to compositions whose oligonucleotides are characterized by particular patterns of chemical modification (including modifications of bases, sugars and/or internucleotidic linkages) and/or of internucleotidic linkage stereochemistry. Certain patent filings describe specific compositions designed for use in the treatment of particular diseases. Several of our patent filings directed to stereopure compositions have entered national stage prosecution in multiple jurisdictions and some have issued in one or more jurisdictions; others are in the international stage. Certain filings offer 20-year protection terms that range from 2033 to at least 2045.</w:t>
      </w:r>
    </w:p>
    <w:p>
      <w:pPr>
        <w:sectPr>
          <w:pgSz w:w="11880" w:h="15480" w:orient="portrait"/>
          <w:cols w:equalWidth="0" w:num="1">
            <w:col w:w="10440"/>
          </w:cols>
          <w:pgMar w:left="700" w:top="963" w:right="740" w:bottom="1111" w:gutter="0" w:footer="0" w:header="0"/>
        </w:sectPr>
      </w:pPr>
    </w:p>
    <w:bookmarkStart w:id="26" w:name="page27"/>
    <w:bookmarkEnd w:id="26"/>
    <w:p>
      <w:pPr>
        <w:ind w:right="220"/>
        <w:spacing w:after="0" w:line="286" w:lineRule="auto"/>
        <w:rPr>
          <w:sz w:val="20"/>
          <w:szCs w:val="20"/>
          <w:color w:val="auto"/>
        </w:rPr>
      </w:pPr>
      <w:r>
        <w:rPr>
          <w:rFonts w:ascii="Times New Roman" w:cs="Times New Roman" w:eastAsia="Times New Roman" w:hAnsi="Times New Roman"/>
          <w:sz w:val="19"/>
          <w:szCs w:val="19"/>
          <w:color w:val="231F20"/>
        </w:rPr>
        <w:t>We also co-own with Shin Nippon Biomedical Laboratories, Ltd. various patent families, some of which include one or more issued patents, including in major market jurisdictions; these filings have 20-year terms extending to 2033-2035.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Future Filings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231F20"/>
        </w:rPr>
        <w:t>We maintain a thoughtful and ambitious program for developing and protecting additional intellectual property, including new synthetic methodologies and reagents. We also intend to prepare and submit patent filings specifically directed to protecting individual product candidates and their uses as we finalize leads and collect relevant data, which is expected to include comparison data confirming novel and/or beneficial attributes of our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Singapore Intellectual Property Law</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231F20"/>
        </w:rPr>
        <w:t>Section 34 of the Patents Act 1994 of Singapore (the “Singapore Patents Act”) provides that a person residing in Singapore is required to obtain written authorization from the Singapore Registrar of Patents (the “Registrar”) before filing an application for a patent for an invention outside of Singapore, unless all of the following conditions have been satisfied: (a) the person has filed an application for a patent for the same invention in the Singapore Registry of Patents at least two months before the filing of the patent application outside Singapore, and (b) the Singapore Registrar of Patents has not, in respect of this patent application, given directions to prohibit or restrict the publication of information contained in the patent application or its communication to any persons or description of persons pursuant to Section 33 of the Singapore Patents Act, or if the Registrar has given any such directions, all such directions have been revoked. A violation of Section 34 is a criminal offense punishable by a fine not exceeding S$5,000, or imprisonment for a term not exceeding two years, or both. There have been some instances where we have undertaken filings outside of Singapore, and there may be instances where we are required to make such filings in the future, without first obtaining written authorization from the Registrar. We have notified the Registrar of such filings and we have since implemented measures to address the requirements of Section 34 moving forward. To date, the Registrar has offered a compound of some of the offences considered against payment of a sum of S$50 to S$150 per considered case. Under Singapore law, the Registrar has discretion to offer a compound of such offences against payment of a sum of money of up to S$2,500, or to prosecute the offence subject to the other penalties noted above. Per requests in the Registrar’s most recent decision, we have submitted approximately 140 patent applications in multiple patent families, most of which are related to previously reported applications, to the Intellectual Property Office of Singapore (“IPOS”). The IPOS may consider the filing of some or all of these applications to have breached Section 34 requirements per IPOS’ current interpretation of Section 34, and we are waiting for IPOS’ decision on these applications. We cannot assure you that the Registrar will offer to compound any such violations of Section 34, or that any offer to compound will be for an amount similar to previous compound offers.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Competition</w:t>
      </w:r>
    </w:p>
    <w:p>
      <w:pPr>
        <w:spacing w:after="0" w:line="10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9"/>
          <w:szCs w:val="19"/>
          <w:color w:val="231F20"/>
        </w:rPr>
        <w:t>The biotechnology and pharmaceutical marketplace is characterized by rapidly advancing technologies, intense competition and a strong emphasis on proprietary products. While we believe that our expertise in oligonucleotides,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oligonucleotides, but any product candidates that we successfully develop and commercialize will compete with existing therapies and new therapies that may become available in the future.</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Obesity</w:t>
      </w:r>
    </w:p>
    <w:p>
      <w:pPr>
        <w:spacing w:after="0" w:line="10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231F20"/>
        </w:rPr>
        <w:t>There are two GLP-1 receptor agonists approved in the United States for the treatment of obesity: Saxenda (liraglutide, Novo Nordisk) and Wegovy / Wegovy pill (semaglutide, Novo Nordisk) . Zepbound (tirzepatide, Eli Lilly), approved by the FDA in November 2023, is a GLP-1/GIP receptor agonist. Beyond these approved therapies, there are other investigational oral GLP-1 receptor agonists, other GLP-1 receptor agonist combinations (e.g., GLP-1/GIP/glucagon receptor agonists, GLP-1/glucagon receptor agonists, GLP-1/amylin receptor agonists, GLP-1/GLP-2 receptor agonists, etc.), and other mechanisms (e.g., amylin) in various stages of clinical development. Other FDA-approved therapies for obesity include Xenical (H2-Pharma), Qsymia (Vivus), and Contrave (Currax Pharmaceuticals).</w:t>
      </w:r>
    </w:p>
    <w:p>
      <w:pPr>
        <w:sectPr>
          <w:pgSz w:w="11880" w:h="15480" w:orient="portrait"/>
          <w:cols w:equalWidth="0" w:num="1">
            <w:col w:w="10480"/>
          </w:cols>
          <w:pgMar w:left="700" w:top="963" w:right="700" w:bottom="1440" w:gutter="0" w:footer="0" w:header="0"/>
        </w:sectPr>
      </w:pPr>
    </w:p>
    <w:bookmarkStart w:id="27" w:name="page28"/>
    <w:bookmarkEnd w:id="27"/>
    <w:p>
      <w:pPr>
        <w:spacing w:after="0" w:line="259" w:lineRule="auto"/>
        <w:rPr>
          <w:sz w:val="20"/>
          <w:szCs w:val="20"/>
          <w:color w:val="auto"/>
        </w:rPr>
      </w:pPr>
      <w:r>
        <w:rPr>
          <w:rFonts w:ascii="Times New Roman" w:cs="Times New Roman" w:eastAsia="Times New Roman" w:hAnsi="Times New Roman"/>
          <w:sz w:val="19"/>
          <w:szCs w:val="19"/>
          <w:color w:val="231F20"/>
        </w:rPr>
        <w:t>Arrowhead, Rona Therapeutics, Vial, BaseCure Therapeutics, SanegeneBio, and Hengrui have siRNA programs targeting INHBE in Phase 1 or Phase 1/2 development, and Alnylam and Innovent, among others, have preclinical INHBE programs. iBio has a preclinical antibody program targeting Activin E. In addition, multiple other companies are pursuing approaches for obesity that are complementary to GLP-1 receptor agonists and aim to reduce fat mass while preserving or increasing lean mass.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Alpha-1 Antitrypsin Deficiency (“AATD”)</w:t>
      </w:r>
    </w:p>
    <w:p>
      <w:pPr>
        <w:spacing w:after="0" w:line="10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9"/>
          <w:szCs w:val="19"/>
          <w:color w:val="231F20"/>
        </w:rPr>
        <w:t>There are five treatments approved in the United States for AATD: Prolastin (Grifols), Prolastin-C (Grifols), Aralast NP (Takeda), Zemaira (CSL Behring), and Glassia (Takeda). All five contain plasma-derived human alpha1-proteinase inhibitor and are indicated for chronic augmentation and maintenance therapy in adults with emphysema due to congenital deficiency of alpha1-proteinase inhibitor (Alpha1-PI). The prescribing information for each states that the effect of augmentation therapy with any alpha1-proteinase inhibitor on pulmonary exacerbations and on the progression of emphysema in Alpha1-PI deficiency has not been demonstrated in randomized, controlled clinical trials.</w:t>
      </w: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231F20"/>
        </w:rPr>
        <w:t>To our knowledge, there are no RNA editing programs currently in clinical development for AATD other than WVE-006, but Korro Bio and AIRNA have programs in preclinical development. Beam Therapeutics has a Phase 1/2 study and YolTech Therapeutics has a Phase 1 investigator-initiated trial ongoing with a DNA base editing approach, and three companies are developing prime editing approaches, including Tessera Therapeutics, which is initiating a Phase 1/2 study, and CRISPR Therapeutics and Prime Medicine which have programs in preclinical development. There are also a number of companies with investigational drugs in clinical development for AATD lung disease: Krystal Biotech (Phase 1), Mereo BioPharma (Phase 2 completed), and Sanofi (Phase 2), among others. Arrowhead Pharmaceuticals and Takeda have an investigational drug in Phase 3 clinical development for AATD liver disease.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Duchenne Muscular Dystrophy (“DMD”)</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There are two exon skipping treatments approved in the United States for the treatment of DMD in patients who have a confirmed mutation of the DMD gene amenable to exon 53 skipping: Sarepta Therapeutics’ Vyondys 53 (golodirsen) was approved in 2019, and NS Pharma’s Viltepso (viltolarsen) was approved in 2020. Both therapies received accelerated approval based on dystrophin production, and in accordance with US accelerated approval regulations, the FDA is requiring Sarepta and NS Pharma to each conduct a clinical trial to verify and describe their drug’s clinical benefit. If the trials fail to verify clinical benefit, the FDA could initiate proceedings to withdraw approval of the respective drug. To date, no clinical benefit of Vyondys 53 or Viltepso has been established.</w:t>
      </w:r>
    </w:p>
    <w:p>
      <w:pPr>
        <w:spacing w:after="0" w:line="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231F20"/>
        </w:rPr>
        <w:t>Sarepta Therapeutics’ Elevidys, a microdystrophin gene therapy, is available in the United States and some ex-EU markets. Its current indication in the US is for ambulatory patients with DMD aged at least four years who have a confirmed mutation in the DMD gene. This includes patients who have a DMD mutation amenable to exon 53 skipping.</w:t>
      </w:r>
    </w:p>
    <w:p>
      <w:pPr>
        <w:spacing w:after="0" w:line="5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Other therapies available for DMD include Catalyst Pharmaceuticals’ Agamree (vamorolone), an alternative steroid which was approved in the US and EU in 2023, PTC Therapeutics’ Emflaza (steroid, now generic), and Italfarmaco/ITF Therapeutics’ Duvyzat (givinostat), a histone deacetylase inhibitor which was approved in the United States in 2024.</w:t>
      </w:r>
    </w:p>
    <w:p>
      <w:pPr>
        <w:spacing w:after="0" w:line="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Several other companies have investigational drugs in clinical development targeting DMD more broadly, including patients amenable to exon 53 skipping. These include Capricor Therapeutics (Preregistration with FDA), Dystrogen Therapeutics (Phase 1), Edgewise Therapeutics (Phase 2), Regenxbio (Phase 3), Satellos Bioscience (Phase 1), and Solid Biosciences (Phase 3), among others. Based on available information, we do not believe there are other companies with investigational programs specifically for exon 53 skipping in clinical development. Several companies also have ongoing preclinical programs for DMD that may directly or indirectly target patients amenable to exon 53 skipping. These companies include Dyne Therapeutics, Precision BioSciences, and Vertex Pharmaceuticals, among others.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Huntington’s Disease (“HD”)</w:t>
      </w:r>
    </w:p>
    <w:p>
      <w:pPr>
        <w:spacing w:after="0" w:line="106"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9"/>
          <w:szCs w:val="19"/>
          <w:color w:val="231F20"/>
        </w:rPr>
        <w:t>There are no approved treatments available to slow the progression of HD. Austedo (Teva), tetrabenazine (generic), and, in 2023, Ingrezza (Neurocrine Biosciences) have been approved for the treatment of chorea associated with HD.</w:t>
      </w:r>
    </w:p>
    <w:p>
      <w:pPr>
        <w:spacing w:after="0" w:line="3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231F20"/>
        </w:rPr>
        <w:t>We believe, based on publicly available information, that Alnylam (Phase 1), Annexon Biosciences (Phase 2 completed), Ionis Pharmaceuticals and Roche (allele -selective in Phase 1 and pan-silencing in Phase 2), Prilenia Therapeutics (Phase 3), PTC Therapeutics / Novartis (Phase 2), Roche (Phase 1/2), Skyhawk Therapeutics (Phase 2/3), uniQure (Phase 1/2), and Vico Therapeutics (Phase 1/2), among others, have investigational drugs aimed at slowing the progression of HD in clinical development. To our knowledge, we have the most advanced clinical stage program targeting allele-selective mHTT lowering.</w:t>
      </w:r>
    </w:p>
    <w:p>
      <w:pPr>
        <w:spacing w:after="0" w:line="69"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9"/>
          <w:szCs w:val="19"/>
          <w:color w:val="231F20"/>
        </w:rPr>
        <w:t>Several companies have ongoing discovery or preclinical programs for HD, including Atalanta Therapeutics, Ophidion, Sangamo Therapeutics and Takeda, Sarepta Therapeutics, and Voyager Therapeutics and Novartis, among others.</w:t>
      </w:r>
    </w:p>
    <w:p>
      <w:pPr>
        <w:spacing w:after="0" w:line="4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9"/>
          <w:szCs w:val="19"/>
          <w:color w:val="231F20"/>
        </w:rPr>
        <w:t>Molecules to treat symptoms associated with HD are also in development. For instance, SOM Biotech has completed a Phase 2 study of an investigational agent for chorea in HD.</w:t>
      </w:r>
    </w:p>
    <w:p>
      <w:pPr>
        <w:sectPr>
          <w:pgSz w:w="11880" w:h="15480" w:orient="portrait"/>
          <w:cols w:equalWidth="0" w:num="1">
            <w:col w:w="10460"/>
          </w:cols>
          <w:pgMar w:left="700" w:top="963" w:right="720" w:bottom="1155"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b w:val="1"/>
          <w:bCs w:val="1"/>
          <w:color w:val="231F20"/>
        </w:rPr>
        <w:t>Government Regulation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FDA Approval Process for Drug Products</w:t>
      </w:r>
    </w:p>
    <w:p>
      <w:pPr>
        <w:spacing w:after="0" w:line="11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231F20"/>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pharmaceutical company to a variety of administrative or judicial sanctions, such as the FDA’s refusal to approve pending applications, a clinical hold, warning letters, recall or seizure of drug products, partial or total suspension of production, withdrawal of drug products from the market, injunctions, fines, civil penalties or criminal prosecution.</w:t>
      </w:r>
    </w:p>
    <w:p>
      <w:pPr>
        <w:spacing w:after="0" w:line="4"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9"/>
          <w:szCs w:val="19"/>
          <w:color w:val="231F20"/>
        </w:rPr>
        <w:t>FDA approval is required before any new drug, such as a new molecular or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85" w:lineRule="exact"/>
        <w:rPr>
          <w:sz w:val="20"/>
          <w:szCs w:val="20"/>
          <w:color w:val="auto"/>
        </w:rPr>
      </w:pPr>
    </w:p>
    <w:p>
      <w:pPr>
        <w:ind w:left="940" w:right="540" w:hanging="465"/>
        <w:spacing w:after="0" w:line="285" w:lineRule="auto"/>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completion of preclinical testing in compliance with applicable FDA good laboratory practice regulations and other requirements (“GLP”);</w:t>
      </w:r>
    </w:p>
    <w:p>
      <w:pPr>
        <w:spacing w:after="0" w:line="55" w:lineRule="exact"/>
        <w:rPr>
          <w:rFonts w:ascii="Arial" w:cs="Arial" w:eastAsia="Arial" w:hAnsi="Arial"/>
          <w:sz w:val="19"/>
          <w:szCs w:val="19"/>
          <w:color w:val="231F20"/>
        </w:rPr>
      </w:pPr>
    </w:p>
    <w:p>
      <w:pPr>
        <w:ind w:left="940" w:right="340" w:hanging="465"/>
        <w:spacing w:after="0" w:line="288" w:lineRule="auto"/>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submission to the FDA of an IND for human clinical testing which must become effective before human clinical trials may begin in the United States;</w:t>
      </w:r>
    </w:p>
    <w:p>
      <w:pPr>
        <w:spacing w:after="0" w:line="51" w:lineRule="exact"/>
        <w:rPr>
          <w:rFonts w:ascii="Arial" w:cs="Arial" w:eastAsia="Arial" w:hAnsi="Arial"/>
          <w:sz w:val="19"/>
          <w:szCs w:val="19"/>
          <w:color w:val="231F20"/>
        </w:rPr>
      </w:pPr>
    </w:p>
    <w:p>
      <w:pPr>
        <w:ind w:left="940" w:right="120" w:hanging="465"/>
        <w:spacing w:after="0" w:line="288" w:lineRule="auto"/>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approval by an independent institutional review board (“IRB”) at each site where a clinical trial will be performed before the trial may be initiated at that site;</w:t>
      </w:r>
    </w:p>
    <w:p>
      <w:pPr>
        <w:spacing w:after="0" w:line="49" w:lineRule="exact"/>
        <w:rPr>
          <w:rFonts w:ascii="Arial" w:cs="Arial" w:eastAsia="Arial" w:hAnsi="Arial"/>
          <w:sz w:val="19"/>
          <w:szCs w:val="19"/>
          <w:color w:val="231F20"/>
        </w:rPr>
      </w:pPr>
    </w:p>
    <w:p>
      <w:pPr>
        <w:ind w:left="940" w:right="160" w:hanging="465"/>
        <w:spacing w:after="0" w:line="266" w:lineRule="auto"/>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performance of adequate and well-controlled human clinical trials in accordance with good clinical practice (“GCP”), as well as other clinical research regulations, to establish safety and substantial evidence of effectiveness of the proposed product candidate for each intended use;</w:t>
      </w:r>
    </w:p>
    <w:p>
      <w:pPr>
        <w:spacing w:after="0" w:line="73" w:lineRule="exact"/>
        <w:rPr>
          <w:rFonts w:ascii="Arial" w:cs="Arial" w:eastAsia="Arial" w:hAnsi="Arial"/>
          <w:sz w:val="19"/>
          <w:szCs w:val="19"/>
          <w:color w:val="231F20"/>
        </w:rPr>
      </w:pPr>
    </w:p>
    <w:p>
      <w:pPr>
        <w:ind w:left="940" w:right="320" w:hanging="465"/>
        <w:spacing w:after="0" w:line="288" w:lineRule="auto"/>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thorough characterization of the product candidate and establishment of acceptable standards to ensure suitable purity, identity, strength, quality and stability in compliance with cGMP;</w:t>
      </w:r>
    </w:p>
    <w:p>
      <w:pPr>
        <w:spacing w:after="0" w:line="51" w:lineRule="exact"/>
        <w:rPr>
          <w:rFonts w:ascii="Arial" w:cs="Arial" w:eastAsia="Arial" w:hAnsi="Arial"/>
          <w:sz w:val="19"/>
          <w:szCs w:val="19"/>
          <w:color w:val="231F20"/>
        </w:rPr>
      </w:pPr>
    </w:p>
    <w:p>
      <w:pPr>
        <w:ind w:left="940" w:right="1080" w:hanging="465"/>
        <w:spacing w:after="0" w:line="285" w:lineRule="auto"/>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satisfactory completion of an FDA pre-approval inspection of the facility or facilities at which the product is manufactured to assess compliance with cGMP;</w:t>
      </w:r>
    </w:p>
    <w:p>
      <w:pPr>
        <w:spacing w:after="0" w:line="55" w:lineRule="exact"/>
        <w:rPr>
          <w:rFonts w:ascii="Arial" w:cs="Arial" w:eastAsia="Arial" w:hAnsi="Arial"/>
          <w:sz w:val="19"/>
          <w:szCs w:val="19"/>
          <w:color w:val="231F20"/>
        </w:rPr>
      </w:pPr>
    </w:p>
    <w:p>
      <w:pPr>
        <w:ind w:left="940" w:right="80" w:hanging="465"/>
        <w:spacing w:after="0" w:line="288" w:lineRule="auto"/>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satisfactory completion of an FDA pre-approval inspection of one or more clinical trial site(s) or the sponsor’s site and/or contract research organization responsible for conduct of key clinical trials in accordance with GCP;</w:t>
      </w:r>
    </w:p>
    <w:p>
      <w:pPr>
        <w:spacing w:after="0" w:line="51" w:lineRule="exact"/>
        <w:rPr>
          <w:rFonts w:ascii="Arial" w:cs="Arial" w:eastAsia="Arial" w:hAnsi="Arial"/>
          <w:sz w:val="19"/>
          <w:szCs w:val="19"/>
          <w:color w:val="231F20"/>
        </w:rPr>
      </w:pPr>
    </w:p>
    <w:p>
      <w:pPr>
        <w:ind w:left="940" w:hanging="465"/>
        <w:spacing w:after="0"/>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submission to the FDA of an NDA, which must be accepted for filing by the FDA;</w:t>
      </w:r>
    </w:p>
    <w:p>
      <w:pPr>
        <w:spacing w:after="0" w:line="134" w:lineRule="exact"/>
        <w:rPr>
          <w:rFonts w:ascii="Arial" w:cs="Arial" w:eastAsia="Arial" w:hAnsi="Arial"/>
          <w:sz w:val="19"/>
          <w:szCs w:val="19"/>
          <w:color w:val="231F20"/>
        </w:rPr>
      </w:pPr>
    </w:p>
    <w:p>
      <w:pPr>
        <w:ind w:left="940" w:hanging="465"/>
        <w:spacing w:after="0"/>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completion of an FDA advisory committee review, if applicable;</w:t>
      </w:r>
    </w:p>
    <w:p>
      <w:pPr>
        <w:spacing w:after="0" w:line="132" w:lineRule="exact"/>
        <w:rPr>
          <w:rFonts w:ascii="Arial" w:cs="Arial" w:eastAsia="Arial" w:hAnsi="Arial"/>
          <w:sz w:val="19"/>
          <w:szCs w:val="19"/>
          <w:color w:val="231F20"/>
        </w:rPr>
      </w:pPr>
    </w:p>
    <w:p>
      <w:pPr>
        <w:ind w:left="940" w:hanging="465"/>
        <w:spacing w:after="0"/>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payment of user fees, if applicable; and</w:t>
      </w:r>
    </w:p>
    <w:p>
      <w:pPr>
        <w:spacing w:after="0" w:line="134" w:lineRule="exact"/>
        <w:rPr>
          <w:rFonts w:ascii="Arial" w:cs="Arial" w:eastAsia="Arial" w:hAnsi="Arial"/>
          <w:sz w:val="19"/>
          <w:szCs w:val="19"/>
          <w:color w:val="231F20"/>
        </w:rPr>
      </w:pPr>
    </w:p>
    <w:p>
      <w:pPr>
        <w:ind w:left="940" w:hanging="465"/>
        <w:spacing w:after="0"/>
        <w:tabs>
          <w:tab w:leader="none" w:pos="940" w:val="left"/>
        </w:tabs>
        <w:numPr>
          <w:ilvl w:val="0"/>
          <w:numId w:val="14"/>
        </w:numPr>
        <w:rPr>
          <w:rFonts w:ascii="Arial" w:cs="Arial" w:eastAsia="Arial" w:hAnsi="Arial"/>
          <w:sz w:val="19"/>
          <w:szCs w:val="19"/>
          <w:color w:val="231F20"/>
        </w:rPr>
      </w:pPr>
      <w:r>
        <w:rPr>
          <w:rFonts w:ascii="Times New Roman" w:cs="Times New Roman" w:eastAsia="Times New Roman" w:hAnsi="Times New Roman"/>
          <w:sz w:val="19"/>
          <w:szCs w:val="19"/>
          <w:color w:val="231F20"/>
        </w:rPr>
        <w:t>FDA review and approval of the NDA.</w:t>
      </w:r>
    </w:p>
    <w:p>
      <w:pPr>
        <w:spacing w:after="0" w:line="207"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9"/>
          <w:szCs w:val="19"/>
          <w:color w:val="231F20"/>
        </w:rPr>
        <w:t>The manufacturing development, preclinical and clinical testing, and regulatory review process requires substantial time, effort and financial resources. Manufacturing development includes laboratory evaluation of product chemistry, formulation, development of manufacturing and control procedures, evaluation of stability, and the establishment of procedures to ensure continued product quality.</w:t>
      </w:r>
    </w:p>
    <w:p>
      <w:pPr>
        <w:spacing w:after="0" w:line="6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9"/>
          <w:szCs w:val="19"/>
          <w:color w:val="231F20"/>
        </w:rPr>
        <w:t xml:space="preserve">Nonclinical tests may include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and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(animal model) studies to assess the toxicity and other safety characteristics of the product candidate, as well as important aspects of drug pharmacology and PD. The Consolidated Appropriations Act for 2023, signed into law on December 29, 2022, (P.L. 117 -328) amended the FDCA and the Public Health Service Act to specify that nonclinical testing for drugs and biologics may, but is not required to, include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animal testing. According to the amended language, a sponsor may fulfill nonclinical testing requirements by completing various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assays (e.g., cell-based assays, organ chips, or microphysiological systems), </w:t>
      </w:r>
      <w:r>
        <w:rPr>
          <w:rFonts w:ascii="Times New Roman" w:cs="Times New Roman" w:eastAsia="Times New Roman" w:hAnsi="Times New Roman"/>
          <w:sz w:val="19"/>
          <w:szCs w:val="19"/>
          <w:i w:val="1"/>
          <w:iCs w:val="1"/>
          <w:color w:val="231F20"/>
        </w:rPr>
        <w:t>in silico</w:t>
      </w:r>
      <w:r>
        <w:rPr>
          <w:rFonts w:ascii="Times New Roman" w:cs="Times New Roman" w:eastAsia="Times New Roman" w:hAnsi="Times New Roman"/>
          <w:sz w:val="19"/>
          <w:szCs w:val="19"/>
          <w:color w:val="231F20"/>
        </w:rPr>
        <w:t xml:space="preserve"> studies (i.e., computer modeling), other human or nonhuman biology-based tests (e.g., bioprinting), or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animal tests.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results of nonclinical tests, together with manufacturing information, analytical data and a proposed clinical trial protocol and other information, are submitted as part of an IND to the FDA. Some long-term nonclinical testing to further establish the safety profile of the product candidate, as well as manufacturing processes development and drug quality evaluation, continues after the IND is submitted. An IND automatically becomes effective 30 days after receipt by the FDA, unless the FDA, within the 30-day time period, raises concerns or questions related to the proposed clinical trial and places the IND on a clinical hold. In such a case, the IND sponsor must resolve all outstanding concerns before the clinical trial can begin. As a result, our submission of an IND may not result in FDA authorization to commence a clinical trial. A separate submission to an existing IND must also be made for each successive clinical trial conducted during product development, or if changes are made in trial design. Even if the IND becomes effective and the trial proceeds without initial FDA objection, the FDA may stop the trial at a later time if it has concerns, such as if unacceptable safety risks arise.</w:t>
      </w:r>
    </w:p>
    <w:p>
      <w:pPr>
        <w:sectPr>
          <w:pgSz w:w="11880" w:h="15480" w:orient="portrait"/>
          <w:cols w:equalWidth="0" w:num="1">
            <w:col w:w="10460"/>
          </w:cols>
          <w:pgMar w:left="700" w:top="961" w:right="720" w:bottom="637" w:gutter="0" w:footer="0" w:header="0"/>
        </w:sectPr>
      </w:pPr>
    </w:p>
    <w:bookmarkStart w:id="29" w:name="page30"/>
    <w:bookmarkEnd w:id="29"/>
    <w:p>
      <w:pPr>
        <w:ind w:right="40"/>
        <w:spacing w:after="0" w:line="239" w:lineRule="auto"/>
        <w:rPr>
          <w:sz w:val="20"/>
          <w:szCs w:val="20"/>
          <w:color w:val="auto"/>
        </w:rPr>
      </w:pPr>
      <w:r>
        <w:rPr>
          <w:rFonts w:ascii="Times New Roman" w:cs="Times New Roman" w:eastAsia="Times New Roman" w:hAnsi="Times New Roman"/>
          <w:sz w:val="19"/>
          <w:szCs w:val="19"/>
          <w:color w:val="231F20"/>
        </w:rPr>
        <w:t>Further, an IRB for each site proposing to conduct the clinical trial must review and approve the plan for any clinical trial and informed consent information for subjects before the trial commences at that site and it must perform an ongoing review of the research on an annual basis until the trial is completed. The FDA or the sponsor may suspend a clinical trial at any time on various grounds, including a finding that the subjects or patients are being exposed to an unacceptable health risk or that the trials are not being conducted in accordance with the clinical plan or in compliance with GCP.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Clinical trials involve the administration of the product candidate to human subjects under the supervision of qualified investigators in accordance with GCP, as well as other regulations, which include, among other things, the requirement that all research subjects provide their informed consent in writing for their participation in any clinical trial. Sponsors of clinical trials of certain FDA-regulated products generally must register and disclose certain clinical trial information to a public registry maintained by the National Institutes of Health (“NIH”). In particular, information related to the product, patient population, phase of investigation, study site locations and other aspects of the clinical trial are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such disclosure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brought enforcement actions against non-compliant clinical trial sponsors.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Human clinical trials are typically conducted in the following sequential phases, which may overlap or be combined:</w:t>
      </w:r>
    </w:p>
    <w:p>
      <w:pPr>
        <w:spacing w:after="0" w:line="133" w:lineRule="exact"/>
        <w:rPr>
          <w:sz w:val="20"/>
          <w:szCs w:val="20"/>
          <w:color w:val="auto"/>
        </w:rPr>
      </w:pPr>
    </w:p>
    <w:p>
      <w:pPr>
        <w:ind w:left="940" w:right="180" w:hanging="465"/>
        <w:spacing w:after="0" w:line="288" w:lineRule="auto"/>
        <w:tabs>
          <w:tab w:leader="none" w:pos="940" w:val="left"/>
        </w:tabs>
        <w:numPr>
          <w:ilvl w:val="0"/>
          <w:numId w:val="15"/>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Phase 1. </w:t>
      </w:r>
      <w:r>
        <w:rPr>
          <w:rFonts w:ascii="Times New Roman" w:cs="Times New Roman" w:eastAsia="Times New Roman" w:hAnsi="Times New Roman"/>
          <w:sz w:val="19"/>
          <w:szCs w:val="19"/>
          <w:color w:val="231F20"/>
        </w:rPr>
        <w:t>The product is initially introduced into healthy human subjects or patients and tested for safety, dose tolerance,</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absorption, metabolism, distribution and excretion and, if possible, to gain an early indication of its effectiveness.</w:t>
      </w:r>
    </w:p>
    <w:p>
      <w:pPr>
        <w:spacing w:after="0" w:line="49" w:lineRule="exact"/>
        <w:rPr>
          <w:rFonts w:ascii="Arial" w:cs="Arial" w:eastAsia="Arial" w:hAnsi="Arial"/>
          <w:sz w:val="19"/>
          <w:szCs w:val="19"/>
          <w:color w:val="231F20"/>
        </w:rPr>
      </w:pPr>
    </w:p>
    <w:p>
      <w:pPr>
        <w:ind w:left="940" w:right="100" w:hanging="465"/>
        <w:spacing w:after="0" w:line="259" w:lineRule="auto"/>
        <w:tabs>
          <w:tab w:leader="none" w:pos="940" w:val="left"/>
        </w:tabs>
        <w:numPr>
          <w:ilvl w:val="0"/>
          <w:numId w:val="15"/>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Phase 2. </w:t>
      </w:r>
      <w:r>
        <w:rPr>
          <w:rFonts w:ascii="Times New Roman" w:cs="Times New Roman" w:eastAsia="Times New Roman" w:hAnsi="Times New Roman"/>
          <w:sz w:val="19"/>
          <w:szCs w:val="19"/>
          <w:color w:val="231F20"/>
        </w:rPr>
        <w:t>The product is administered to a limited patient population to identify possible adverse effects and safety risks,</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to preliminarily 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80" w:lineRule="exact"/>
        <w:rPr>
          <w:rFonts w:ascii="Arial" w:cs="Arial" w:eastAsia="Arial" w:hAnsi="Arial"/>
          <w:sz w:val="19"/>
          <w:szCs w:val="19"/>
          <w:color w:val="231F20"/>
        </w:rPr>
      </w:pPr>
    </w:p>
    <w:p>
      <w:pPr>
        <w:ind w:left="940" w:right="120" w:hanging="465"/>
        <w:spacing w:after="0" w:line="255" w:lineRule="auto"/>
        <w:tabs>
          <w:tab w:leader="none" w:pos="940" w:val="left"/>
        </w:tabs>
        <w:numPr>
          <w:ilvl w:val="0"/>
          <w:numId w:val="15"/>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Phase 3. </w:t>
      </w:r>
      <w:r>
        <w:rPr>
          <w:rFonts w:ascii="Times New Roman" w:cs="Times New Roman" w:eastAsia="Times New Roman" w:hAnsi="Times New Roman"/>
          <w:sz w:val="19"/>
          <w:szCs w:val="19"/>
          <w:color w:val="231F20"/>
        </w:rPr>
        <w:t>These are commonly referred to as pivotal studies. When Phase 2 evaluations demonstrate that a dose range of</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the product appears to be effective and has an acceptable safety profile, trials are undertaken in larger patient populations to further evaluate dosage, to obtain substantial, statistical evidence of clinical efficacy and safety, generally at multiple, geographically-dispersed clinical trial sites, to establish the overall risk-benefit relationship of the product and to provide adequate information for approval of the product.</w:t>
      </w:r>
    </w:p>
    <w:p>
      <w:pPr>
        <w:spacing w:after="0" w:line="84" w:lineRule="exact"/>
        <w:rPr>
          <w:rFonts w:ascii="Arial" w:cs="Arial" w:eastAsia="Arial" w:hAnsi="Arial"/>
          <w:sz w:val="19"/>
          <w:szCs w:val="19"/>
          <w:color w:val="231F20"/>
        </w:rPr>
      </w:pPr>
    </w:p>
    <w:p>
      <w:pPr>
        <w:ind w:left="940" w:right="40" w:hanging="466"/>
        <w:spacing w:after="0" w:line="266" w:lineRule="auto"/>
        <w:tabs>
          <w:tab w:leader="none" w:pos="940" w:val="left"/>
        </w:tabs>
        <w:numPr>
          <w:ilvl w:val="0"/>
          <w:numId w:val="15"/>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Phase 4. </w:t>
      </w:r>
      <w:r>
        <w:rPr>
          <w:rFonts w:ascii="Times New Roman" w:cs="Times New Roman" w:eastAsia="Times New Roman" w:hAnsi="Times New Roman"/>
          <w:sz w:val="19"/>
          <w:szCs w:val="19"/>
          <w:color w:val="231F20"/>
        </w:rPr>
        <w:t>In some cases, the FDA may condition approval of an NDA for a product candidate on the sponsor’s agreement</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to conduct additional clinical trials to further assess the product’s safety and effectiveness after NDA approval. Such post-approval trials are typically referred to as Phase 4 studies.</w:t>
      </w:r>
    </w:p>
    <w:p>
      <w:pPr>
        <w:spacing w:after="0" w:line="14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231F20"/>
        </w:rPr>
        <w:t>Progress reports detailing progress and safety data gathered from clinical trials must be submitted at least annually to the FDA. Safety reports are submitted more frequently if certain SAEs occur. Phase 1, Phase 2 and Phase 3 clinical trials may not be completed successfully within any specified period, or at all. The FDA will typically inspect one or more clinical sites to assure compliance with GCP and the integrity of the clinical data submitted as part of NDA review.</w:t>
      </w:r>
    </w:p>
    <w:p>
      <w:pPr>
        <w:spacing w:after="0" w:line="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231F20"/>
        </w:rPr>
        <w:t>In the Consolidated Appropriations Act for 2023, Congress amended the FDCA to require sponsors of a Phase 3 clinical trial, or other “pivotal study” of a new drug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FDA by the time the sponsor submits the trial protocol to the agency for review. The FDA may grant a waiver for some or all of the requirements for a diversity action plan. If FDA objects to a sponsor’s diversity action plan and requires the sponsor to amend the plan or take other actions, it may delay trial initiation.</w:t>
      </w:r>
    </w:p>
    <w:p>
      <w:pPr>
        <w:spacing w:after="0" w:line="7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9"/>
          <w:szCs w:val="19"/>
          <w:color w:val="231F20"/>
        </w:rPr>
        <w:t>Assuming successful completion of the required clinical testing, the results of the preclinical studies and clinical trials, along with information relating to the product’s pharmacology, chemistry, manufacturing, and controls, and proposed labeling, are submitted to the FDA as part of an NDA requesting approval to market the product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Under federal law, the fee for the submission of an NDA with clinical data is substantial (for example, for fiscal year 2026 this application fee exceeds $4.6 million), and the sponsor of an approved NDA is also subject to an annual program fee, currently more than $440,000 per program. These fees are typically adjusted annually, but exemptions and waivers may be available under certain circumstances, including NDA fees for products with orphan designation.</w:t>
      </w:r>
    </w:p>
    <w:p>
      <w:pPr>
        <w:sectPr>
          <w:pgSz w:w="11880" w:h="15480" w:orient="portrait"/>
          <w:cols w:equalWidth="0" w:num="1">
            <w:col w:w="10480"/>
          </w:cols>
          <w:pgMar w:left="700" w:top="1165" w:right="700" w:bottom="778" w:gutter="0" w:footer="0" w:header="0"/>
        </w:sectPr>
      </w:pPr>
    </w:p>
    <w:bookmarkStart w:id="30" w:name="page31"/>
    <w:bookmarkEnd w:id="30"/>
    <w:p>
      <w:pPr>
        <w:ind w:right="280"/>
        <w:spacing w:after="0" w:line="247" w:lineRule="auto"/>
        <w:rPr>
          <w:sz w:val="20"/>
          <w:szCs w:val="20"/>
          <w:color w:val="auto"/>
        </w:rPr>
      </w:pPr>
      <w:r>
        <w:rPr>
          <w:rFonts w:ascii="Times New Roman" w:cs="Times New Roman" w:eastAsia="Times New Roman" w:hAnsi="Times New Roman"/>
          <w:sz w:val="19"/>
          <w:szCs w:val="19"/>
          <w:color w:val="231F20"/>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review. Any resubmitted application, following a refusal to file action, is also subject to 60-day review before the FDA accepts it for filing.</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Under the Prescription Drug User Fee Act (“PDUFA”), for original NDAs, the FDA has ten months from the filing date in which to complete its initial review of a standard application and respond to the applicant, and six months from the filing date for an application with priority review. For all new molecular entity (“NME”) NDAs, the ten and six-month time periods run from the filing date; for all other original applications, the ten and six-month time periods run from the submission date. Despite these review goals, it is not uncommon for FDA review of an NDA to extend beyond the goal date.</w:t>
      </w:r>
    </w:p>
    <w:p>
      <w:pPr>
        <w:spacing w:after="0" w:line="7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231F20"/>
        </w:rPr>
        <w:t>Once the submission has been accepted for filing, the FDA begins an in-depth review. As noted above, the FDA has agreed to specified performance goals in the review process of NDAs. Most such applications are meant to be reviewed within ten months from the date it is accepted for filing (i.e., within 12 months from submission), and most applications for “priority review” products are meant to be reviewed within six months from the date the application is accepted for filing (i.e., within eight months from submission).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3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231F20"/>
        </w:rPr>
        <w:t>Before approving an NDA, the FDA may inspect the facility or facilities where the product is manufactured. The FDA will not approve an application unless it determines that the manufacturing processes and facilities are in compliance with cGMP. The FDA may also inspect one or more of the clinical sites where pivotal trials were conducted and the contract research organization facilities with oversight of the trial, in order to ensure compliance with GCP and the integrity of the study data.</w:t>
      </w:r>
    </w:p>
    <w:p>
      <w:pPr>
        <w:spacing w:after="0" w:line="6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231F20"/>
        </w:rPr>
        <w:t>Additionally, the FDA may refer any NDA, including applications for novel drug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NDA review process. The FDA also may require submission of a risk evaluation and mitigation strategy (“REMS”) if it determines that a REMS is necessary to ensure that the benefits of the drug outweigh its risks and to assure the safe use of the drug or biological product. The REMS could include medication guides, physician communication plans, assessment plans and/or elements to assure safe use, such as restricted distribution methods, patient registries or other risk minimization tools. In addition, the REMS must include a timetable to assess the strategy, often at 18 months, three years, and seven years after the strategy’s approval. The FDA determines the requirement for a REMS, as well as the specific REMS provisions, on a case-by-case basis. If the FDA concludes a REMS is needed, the sponsor of the NDA must submit a proposed REMS. The FDA will not approve an NDA without a REMS, if required.</w:t>
      </w:r>
    </w:p>
    <w:p>
      <w:pPr>
        <w:spacing w:after="0" w:line="7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231F20"/>
        </w:rPr>
        <w:t>In determining whether a REMS is necessary, the FDA may consider the size of the population likely to use the drug, the seriousness of the disease or condition to be treated, the expected benefit of the drug, the duration of treatment, the seriousness of known or potential adverse events, and whether the drug is an NME. If the FDA determines a REMS is necessary, the drug sponsor must agree to the REMS plan at the time of approval, or at a later date should significant new risk information come to light. The FDA may impose a REMS requirement on a drug already on the market if the FDA determines, based on new safety information, that a REMS is necessary to ensure that the drug’s benefits outweigh its risks.</w:t>
      </w:r>
    </w:p>
    <w:p>
      <w:pPr>
        <w:spacing w:after="0" w:line="8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231F20"/>
        </w:rPr>
        <w:t>Under the Pediatric Research Equity Act (“PREA”), as amended, an NDA or supplement to an NDA must contain data that are adequate to assess the safety and efficacy of the product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PREA requires a sponsor who is planning to submit a marketing application for a product that includes a new active ingredient, new indication, new dosage form, new dosing regimen or new route of administration to submit an initial Pediatric Study Plan (“PSP”) within 60 days of an end-of- 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231F20"/>
        </w:rPr>
        <w:t>The FDA reviews an NDA to determine, among other things, whether a product is safe and effective for its intended use and whether its manufacturing is cGMP-compliant to assure and preserve the product’s identity, strength, quality and purity. The approval process is lengthy and often difficult, and the FDA may refuse to approve an NDA if the applicable regulatory criteria are not satisfied or may require additional clinical or other data and information. On the basis of the FDA’s evaluation of the NDA and accompanying information, including the results of the inspection of the manufacturing facilities, it may issue an approval letter or a Complete</w:t>
      </w:r>
    </w:p>
    <w:p>
      <w:pPr>
        <w:sectPr>
          <w:pgSz w:w="11880" w:h="15480" w:orient="portrait"/>
          <w:cols w:equalWidth="0" w:num="1">
            <w:col w:w="10460"/>
          </w:cols>
          <w:pgMar w:left="700" w:top="954" w:right="720" w:bottom="486" w:gutter="0" w:footer="0" w:header="0"/>
        </w:sectPr>
      </w:pPr>
    </w:p>
    <w:bookmarkStart w:id="31" w:name="page32"/>
    <w:bookmarkEnd w:id="31"/>
    <w:p>
      <w:pPr>
        <w:ind w:right="20"/>
        <w:spacing w:after="0" w:line="248" w:lineRule="auto"/>
        <w:rPr>
          <w:sz w:val="20"/>
          <w:szCs w:val="20"/>
          <w:color w:val="auto"/>
        </w:rPr>
      </w:pPr>
      <w:r>
        <w:rPr>
          <w:rFonts w:ascii="Times New Roman" w:cs="Times New Roman" w:eastAsia="Times New Roman" w:hAnsi="Times New Roman"/>
          <w:sz w:val="19"/>
          <w:szCs w:val="19"/>
          <w:color w:val="231F20"/>
        </w:rPr>
        <w:t>Response Letter (“CRL”). An approval letter authorizes commercial marketing of the product with specific prescribing information for specific indications. A CRL indicates that the review cycle for an application is complete and that the application will not be approved in its present form. A CRL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In September 2025, the FDA began publishing CRLs soon after issuing them to the respective sponsors, breaking with long standing agency tradition of publishing CRLs with approval documentation after the product is approved. Although the CRLs are made public, the FDA redacts trade secrets and confidential commercial information prior to release. If a CRL is issued, the applicant may choose to either resubmit the NDA addressing all of the deficiencies identified in the letter or withdraw the application. The FDA has committed to reviewing such resubmissions in response to an issued CRL in either two or six months depending on the type of information included. Even with submission of this additional information, the FDA ultimately may decide that the application does not satisfy the regulatory criteria for approval. If and when the deficiencies have been addressed to the FDA’s satisfaction, the FDA will typically issue an approval letter.</w:t>
      </w:r>
    </w:p>
    <w:p>
      <w:pPr>
        <w:spacing w:after="0" w:line="8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231F20"/>
        </w:rPr>
        <w:t>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Products may be marketed only for the approved indications and in accordance with the provisions of the approved label and, even if the FDA approves a product, the FDA may limit the approved indications for use for the product or impose other conditions, including labeling or distribution restrictions or other risk-management mechanisms, such as a Boxed Warning, which highlights a serious safety concern that should be mitigated under a REMS program. Further, if there are any modifications to the product, including changes in indications, labeling, or manufacturing processes or facilities, a company is generally required to submit and obtain FDA approval of a supplemental NDA, which may require the company to develop additional data or conduct additional nonclinical studies and clinical trials.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Fast Track, Breakthrough Therapy and Priority Review Designations</w:t>
      </w:r>
    </w:p>
    <w:p>
      <w:pPr>
        <w:spacing w:after="0" w:line="11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9"/>
          <w:szCs w:val="19"/>
          <w:color w:val="231F20"/>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In addition, fast track designation may be withdrawn by the sponsor or rescinded by the FDA if the designation is no longer supported by data emerging from the clinical trial process.</w:t>
      </w:r>
    </w:p>
    <w:p>
      <w:pPr>
        <w:spacing w:after="0" w:line="7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231F20"/>
        </w:rPr>
        <w:t>In addition, in 2012 Congress created a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which are intended to expedite the development and review of an application for approval of a breakthrough therapy.</w:t>
      </w:r>
    </w:p>
    <w:p>
      <w:pPr>
        <w:spacing w:after="0" w:line="7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231F20"/>
        </w:rPr>
        <w:t>The FDA may designate a product for priority review if it is a drug or biologic that treats a serious condition and, if approved, would provide a significant improvement in safety or effectiveness over existing therapy.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NME NDA from the date of filing.</w:t>
      </w:r>
    </w:p>
    <w:p>
      <w:pPr>
        <w:spacing w:after="0" w:line="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231F20"/>
        </w:rPr>
        <w:t>In 2025, the FDA created a new pilot voucher program called the Commissioner’s National Priority Voucher (“CNPV”) with the goal of radically expediting the drug and biological product review and approval process. The agency may award a CNPV to a company or a specific product candidate that demonstrates alignment with certain national health priorities. The FDA aims to take action on a marketing application for which a CNPV is used within one to two months after the filing date. Even if a product qualifies for one or</w:t>
      </w:r>
    </w:p>
    <w:p>
      <w:pPr>
        <w:sectPr>
          <w:pgSz w:w="11880" w:h="15480" w:orient="portrait"/>
          <w:cols w:equalWidth="0" w:num="1">
            <w:col w:w="10460"/>
          </w:cols>
          <w:pgMar w:left="700" w:top="963" w:right="720" w:bottom="474" w:gutter="0" w:footer="0" w:header="0"/>
        </w:sectPr>
      </w:pPr>
    </w:p>
    <w:bookmarkStart w:id="32" w:name="page33"/>
    <w:bookmarkEnd w:id="32"/>
    <w:p>
      <w:pPr>
        <w:ind w:right="40"/>
        <w:spacing w:after="0" w:line="266" w:lineRule="auto"/>
        <w:rPr>
          <w:sz w:val="20"/>
          <w:szCs w:val="20"/>
          <w:color w:val="auto"/>
        </w:rPr>
      </w:pPr>
      <w:r>
        <w:rPr>
          <w:rFonts w:ascii="Times New Roman" w:cs="Times New Roman" w:eastAsia="Times New Roman" w:hAnsi="Times New Roman"/>
          <w:sz w:val="19"/>
          <w:szCs w:val="19"/>
          <w:color w:val="231F20"/>
        </w:rPr>
        <w:t>more of these programs, the FDA may later decide that the product no longer meets the conditions for qualification or decide that the time period for FDA review or approval will not be shortened. Furthermore, none of these programs change the standards for approval and may not ultimately expedite the development or approval process.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Accelerated Approval Pathway</w:t>
      </w:r>
    </w:p>
    <w:p>
      <w:pPr>
        <w:spacing w:after="0" w:line="11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231F20"/>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As a condition of approval, the FDA will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30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9"/>
          <w:szCs w:val="19"/>
          <w:color w:val="231F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have been a limited number of Accelerated Approvals based on intermediate clinical endpoints.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7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9"/>
          <w:szCs w:val="19"/>
          <w:color w:val="231F20"/>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9"/>
          <w:szCs w:val="19"/>
          <w:color w:val="231F20"/>
        </w:rPr>
        <w:t>The accelerated approval pathway is contingent on a sponsor’s agreement to conduct, in a diligent manner, additional post-approval confirmatory study(ies) to verify and describe the drug’s clinical benefit. As a result, a drug approved on this basis is subject to rigorous post-marketing compliance requirements, including the completion of clinical trial(s) to establish the effect on the clinical endpoint. Failure to conduct and complete the required confirmatory study(ies) to confirm the predicted clinical benefit of the product would allow the FDA to withdraw approval of the drug. As part of the Consolidated Appropriations Act for 2023, Congress provided the FDA additional statutory authority to mitigate potential risks to patients from continued marketing of ineffective drugs previously granted accelerated approval. Under the act’s amendments to the FDCA, FDA may require the sponsor of a product to have a confirmatory trial underway as a condition for granting accelerated approval of the NDA.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231F20"/>
        </w:rPr>
        <w:t>All promotional materials for product candidates being considered and approved under the accelerated approval program are subject to prior review by the FDA.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Post-Approval Requirements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231F20"/>
        </w:rPr>
        <w:t>Once an NDA is approved, a product will be subject to continuing regulation by the FDA, including, among other things, requirements relating to safety surveillance and adverse event reporting, periodic reporting, continued cGMP compliance and quality oversight, compliance with post-marketing commitments, recordkeeping, advertising and promotion, and reporting manufacturing and labeling changes, as applicable.</w:t>
      </w:r>
    </w:p>
    <w:p>
      <w:pPr>
        <w:spacing w:after="0" w:line="6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In addition, drug manufacturers and other entities involved in the manufacture and distribution of approved drugs (including third-party manufacturers) are required to register their establishments with the FDA and some state agencies and are subject to periodic announced or unannounced inspections by the FDA and some state agencies for assessment of compliance with cGMP. Changes to the manufacturing process are strictly regulated and often require prior FDA approval before being implemented. FDA regulations also require investigation and correction, and sometimes notification of, any deviations from cGMP. These regulations impose reporting and documentation requirements on the sponsor and any third-party manufacturers that we may decide to use. Accordingly, manufacturers must continue to expend time, money, and effort in the area of production and quality control to maintain cGMP compliance.</w:t>
      </w:r>
    </w:p>
    <w:p>
      <w:pPr>
        <w:sectPr>
          <w:pgSz w:w="11880" w:h="15480" w:orient="portrait"/>
          <w:cols w:equalWidth="0" w:num="1">
            <w:col w:w="10480"/>
          </w:cols>
          <w:pgMar w:left="700" w:top="963" w:right="700" w:bottom="703" w:gutter="0" w:footer="0" w:header="0"/>
        </w:sectPr>
      </w:pPr>
    </w:p>
    <w:bookmarkStart w:id="33" w:name="page34"/>
    <w:bookmarkEnd w:id="33"/>
    <w:p>
      <w:pPr>
        <w:ind w:left="1" w:right="100"/>
        <w:spacing w:after="0" w:line="252" w:lineRule="auto"/>
        <w:rPr>
          <w:sz w:val="20"/>
          <w:szCs w:val="20"/>
          <w:color w:val="auto"/>
        </w:rPr>
      </w:pPr>
      <w:r>
        <w:rPr>
          <w:rFonts w:ascii="Times New Roman" w:cs="Times New Roman" w:eastAsia="Times New Roman" w:hAnsi="Times New Roman"/>
          <w:sz w:val="19"/>
          <w:szCs w:val="19"/>
          <w:color w:val="231F20"/>
        </w:rPr>
        <w:t>Once an approval is granted, the FDA may withdraw the approval if compliance with regulatory requirements and standards is not maintained or if problems occur after the product reaches the market. Discovery of previously unknown problems with a product, including adverse events of unlisted severity or frequency, or with manufacturing processes, or failure to comply with regulatory requirements such as noncompliance with cGMP or failure to correct previously identified inspection findings,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316" w:lineRule="exact"/>
        <w:rPr>
          <w:sz w:val="20"/>
          <w:szCs w:val="20"/>
          <w:color w:val="auto"/>
        </w:rPr>
      </w:pPr>
    </w:p>
    <w:p>
      <w:pPr>
        <w:ind w:left="941" w:right="660" w:hanging="466"/>
        <w:spacing w:after="0" w:line="288" w:lineRule="auto"/>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issuance of field alerts, restrictions on the marketing or manufacturing of the product, product recalls, or complete withdrawal of the product from the market;</w:t>
      </w:r>
    </w:p>
    <w:p>
      <w:pPr>
        <w:spacing w:after="0" w:line="51" w:lineRule="exact"/>
        <w:rPr>
          <w:rFonts w:ascii="Arial" w:cs="Arial" w:eastAsia="Arial" w:hAnsi="Arial"/>
          <w:sz w:val="19"/>
          <w:szCs w:val="19"/>
          <w:color w:val="231F20"/>
        </w:rPr>
      </w:pPr>
    </w:p>
    <w:p>
      <w:pPr>
        <w:ind w:left="941" w:hanging="465"/>
        <w:spacing w:after="0"/>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mandated modification of promotional materials and labeling and the issuance of corrective information;</w:t>
      </w:r>
    </w:p>
    <w:p>
      <w:pPr>
        <w:spacing w:after="0" w:line="134" w:lineRule="exact"/>
        <w:rPr>
          <w:rFonts w:ascii="Arial" w:cs="Arial" w:eastAsia="Arial" w:hAnsi="Arial"/>
          <w:sz w:val="19"/>
          <w:szCs w:val="19"/>
          <w:color w:val="231F20"/>
        </w:rPr>
      </w:pPr>
    </w:p>
    <w:p>
      <w:pPr>
        <w:ind w:left="941" w:right="340" w:hanging="465"/>
        <w:spacing w:after="0" w:line="285" w:lineRule="auto"/>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fines, warning letters or other enforcement-related letters or holds on clinical trials using the product or other products manufactured at the same facility;</w:t>
      </w:r>
    </w:p>
    <w:p>
      <w:pPr>
        <w:spacing w:after="0" w:line="55" w:lineRule="exact"/>
        <w:rPr>
          <w:rFonts w:ascii="Arial" w:cs="Arial" w:eastAsia="Arial" w:hAnsi="Arial"/>
          <w:sz w:val="19"/>
          <w:szCs w:val="19"/>
          <w:color w:val="231F20"/>
        </w:rPr>
      </w:pPr>
    </w:p>
    <w:p>
      <w:pPr>
        <w:ind w:left="941" w:right="100" w:hanging="466"/>
        <w:spacing w:after="0" w:line="288" w:lineRule="auto"/>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refusal of the FDA to approve pending applications or supplements to approved applications, or suspension or revocation of product approvals;</w:t>
      </w:r>
    </w:p>
    <w:p>
      <w:pPr>
        <w:spacing w:after="0" w:line="51" w:lineRule="exact"/>
        <w:rPr>
          <w:rFonts w:ascii="Arial" w:cs="Arial" w:eastAsia="Arial" w:hAnsi="Arial"/>
          <w:sz w:val="19"/>
          <w:szCs w:val="19"/>
          <w:color w:val="231F20"/>
        </w:rPr>
      </w:pPr>
    </w:p>
    <w:p>
      <w:pPr>
        <w:ind w:left="941" w:right="100" w:hanging="466"/>
        <w:spacing w:after="0" w:line="288" w:lineRule="auto"/>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withdrawal of approval for any products approved through FDA’s accelerated approval pathway if required confirmatory trials are not completed on time, or at all;</w:t>
      </w:r>
    </w:p>
    <w:p>
      <w:pPr>
        <w:spacing w:after="0" w:line="51" w:lineRule="exact"/>
        <w:rPr>
          <w:rFonts w:ascii="Arial" w:cs="Arial" w:eastAsia="Arial" w:hAnsi="Arial"/>
          <w:sz w:val="19"/>
          <w:szCs w:val="19"/>
          <w:color w:val="231F20"/>
        </w:rPr>
      </w:pPr>
    </w:p>
    <w:p>
      <w:pPr>
        <w:ind w:left="941" w:hanging="466"/>
        <w:spacing w:after="0"/>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product seizure or detention, or refusal to permit the import or export of products;</w:t>
      </w:r>
    </w:p>
    <w:p>
      <w:pPr>
        <w:spacing w:after="0" w:line="132" w:lineRule="exact"/>
        <w:rPr>
          <w:rFonts w:ascii="Arial" w:cs="Arial" w:eastAsia="Arial" w:hAnsi="Arial"/>
          <w:sz w:val="19"/>
          <w:szCs w:val="19"/>
          <w:color w:val="231F20"/>
        </w:rPr>
      </w:pPr>
    </w:p>
    <w:p>
      <w:pPr>
        <w:ind w:left="941" w:hanging="466"/>
        <w:spacing w:after="0"/>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injunctions or the imposition of civil or criminal penalties; and</w:t>
      </w:r>
    </w:p>
    <w:p>
      <w:pPr>
        <w:spacing w:after="0" w:line="134" w:lineRule="exact"/>
        <w:rPr>
          <w:rFonts w:ascii="Arial" w:cs="Arial" w:eastAsia="Arial" w:hAnsi="Arial"/>
          <w:sz w:val="19"/>
          <w:szCs w:val="19"/>
          <w:color w:val="231F20"/>
        </w:rPr>
      </w:pPr>
    </w:p>
    <w:p>
      <w:pPr>
        <w:ind w:left="941" w:hanging="466"/>
        <w:spacing w:after="0"/>
        <w:tabs>
          <w:tab w:leader="none" w:pos="941"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consent decrees, corporate integrity agreements, debarment, or exclusion from federal healthcare programs.</w:t>
      </w:r>
    </w:p>
    <w:p>
      <w:pPr>
        <w:spacing w:after="0" w:line="207" w:lineRule="exact"/>
        <w:rPr>
          <w:sz w:val="20"/>
          <w:szCs w:val="20"/>
          <w:color w:val="auto"/>
        </w:rPr>
      </w:pPr>
    </w:p>
    <w:p>
      <w:pPr>
        <w:ind w:left="1" w:right="20"/>
        <w:spacing w:after="0" w:line="243" w:lineRule="auto"/>
        <w:rPr>
          <w:sz w:val="20"/>
          <w:szCs w:val="20"/>
          <w:color w:val="auto"/>
        </w:rPr>
      </w:pPr>
      <w:r>
        <w:rPr>
          <w:rFonts w:ascii="Times New Roman" w:cs="Times New Roman" w:eastAsia="Times New Roman" w:hAnsi="Times New Roman"/>
          <w:sz w:val="19"/>
          <w:szCs w:val="19"/>
          <w:color w:val="231F20"/>
        </w:rPr>
        <w:t>The FDA strictly regulates marketing, labeling, advertising and promotion of products that are placed on the market. While physicians may generally prescribe a drug for off-label uses, manufacturers may only promote the drug in accordance with the approved product label. The FDA and other agencies actively enforce the laws and regulations prohibiting the promotion of off-label uses, and a company that is found to have promoted false and misleading information about the product may be subject to significant liability, both at the federal and state levels.</w:t>
      </w:r>
    </w:p>
    <w:p>
      <w:pPr>
        <w:spacing w:after="0" w:line="69" w:lineRule="exact"/>
        <w:rPr>
          <w:sz w:val="20"/>
          <w:szCs w:val="20"/>
          <w:color w:val="auto"/>
        </w:rPr>
      </w:pPr>
    </w:p>
    <w:p>
      <w:pPr>
        <w:ind w:left="1" w:right="60"/>
        <w:spacing w:after="0"/>
        <w:rPr>
          <w:sz w:val="20"/>
          <w:szCs w:val="20"/>
          <w:color w:val="auto"/>
        </w:rPr>
      </w:pPr>
      <w:r>
        <w:rPr>
          <w:rFonts w:ascii="Times New Roman" w:cs="Times New Roman" w:eastAsia="Times New Roman" w:hAnsi="Times New Roman"/>
          <w:sz w:val="19"/>
          <w:szCs w:val="19"/>
          <w:color w:val="231F20"/>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 Furthermore, the Drug Supply Chain Security Act (“DSCSA”) was enacted with the aim of building an electronic system to identify and trace certain prescription drugs distributed in the United States. The DSCSA mandates resource-intensive obligations for pharmaceutical manufacturers, wholesale distributors, and dispensers.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3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231F20"/>
        </w:rPr>
        <w:t>Orphan Drug Designation</w:t>
      </w:r>
    </w:p>
    <w:p>
      <w:pPr>
        <w:spacing w:after="0" w:line="117" w:lineRule="exact"/>
        <w:rPr>
          <w:sz w:val="20"/>
          <w:szCs w:val="20"/>
          <w:color w:val="auto"/>
        </w:rPr>
      </w:pPr>
    </w:p>
    <w:p>
      <w:pPr>
        <w:ind w:left="1" w:right="40"/>
        <w:spacing w:after="0" w:line="249" w:lineRule="auto"/>
        <w:rPr>
          <w:sz w:val="20"/>
          <w:szCs w:val="20"/>
          <w:color w:val="auto"/>
        </w:rPr>
      </w:pPr>
      <w:r>
        <w:rPr>
          <w:rFonts w:ascii="Times New Roman" w:cs="Times New Roman" w:eastAsia="Times New Roman" w:hAnsi="Times New Roman"/>
          <w:sz w:val="19"/>
          <w:szCs w:val="19"/>
          <w:color w:val="231F20"/>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After the FDA grants orphan drug designation, the identity of the drug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4" w:lineRule="exact"/>
        <w:rPr>
          <w:sz w:val="20"/>
          <w:szCs w:val="20"/>
          <w:color w:val="auto"/>
        </w:rPr>
      </w:pPr>
    </w:p>
    <w:p>
      <w:pPr>
        <w:ind w:left="1"/>
        <w:spacing w:after="0" w:line="245" w:lineRule="auto"/>
        <w:rPr>
          <w:sz w:val="20"/>
          <w:szCs w:val="20"/>
          <w:color w:val="auto"/>
        </w:rPr>
      </w:pPr>
      <w:r>
        <w:rPr>
          <w:rFonts w:ascii="Times New Roman" w:cs="Times New Roman" w:eastAsia="Times New Roman" w:hAnsi="Times New Roman"/>
          <w:sz w:val="19"/>
          <w:szCs w:val="19"/>
          <w:color w:val="231F20"/>
        </w:rPr>
        <w:t>Under PREA, submission of a pediatric assessment is not required for pediatric investigation of a product that has been granted orphan drug designation. However, under the FDA Reauthorization Act of 2017 (“FDASIA”), the scope of the PREA was extended to require pediatric studies for products intended for the treatment of an adult cancer that are directed at a molecular target and that are determined to be substantially relevant to the growth or progression of a pediatric cancer. In addition, the FDA finalized guidance in 2018 indicating that it does not expect to grant any additional orphan drug designation to products for pediatric subpopulations of common diseases. Nevertheless, the FDA intends to still grant orphan drug designation to a drug or biologic that otherwise meets all other criteria for designation when it prevents, diagnoses or treats either (i) a rare disease that includes a rare pediatric subpopulation,</w:t>
      </w:r>
    </w:p>
    <w:p>
      <w:pPr>
        <w:spacing w:after="0" w:line="2" w:lineRule="exact"/>
        <w:rPr>
          <w:sz w:val="20"/>
          <w:szCs w:val="20"/>
          <w:color w:val="auto"/>
        </w:rPr>
      </w:pPr>
    </w:p>
    <w:p>
      <w:pPr>
        <w:ind w:left="1" w:right="600" w:hanging="1"/>
        <w:spacing w:after="0" w:line="258" w:lineRule="auto"/>
        <w:tabs>
          <w:tab w:leader="none" w:pos="288"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pediatric subpopulation that constitutes a valid orphan subset, or (iii) a rare disease that is in fact a different disease in the pediatric population as compared to the adult population.</w:t>
      </w:r>
    </w:p>
    <w:p>
      <w:pPr>
        <w:sectPr>
          <w:pgSz w:w="11880" w:h="15480" w:orient="portrait"/>
          <w:cols w:equalWidth="0" w:num="1">
            <w:col w:w="10461"/>
          </w:cols>
          <w:pgMar w:left="699" w:top="1184" w:right="720" w:bottom="748" w:gutter="0" w:footer="0" w:header="0"/>
        </w:sectPr>
      </w:pPr>
    </w:p>
    <w:bookmarkStart w:id="34" w:name="page35"/>
    <w:bookmarkEnd w:id="34"/>
    <w:p>
      <w:pPr>
        <w:ind w:right="60"/>
        <w:spacing w:after="0" w:line="248" w:lineRule="auto"/>
        <w:rPr>
          <w:sz w:val="20"/>
          <w:szCs w:val="20"/>
          <w:color w:val="auto"/>
        </w:rPr>
      </w:pPr>
      <w:r>
        <w:rPr>
          <w:rFonts w:ascii="Times New Roman" w:cs="Times New Roman" w:eastAsia="Times New Roman" w:hAnsi="Times New Roman"/>
          <w:sz w:val="19"/>
          <w:szCs w:val="19"/>
          <w:color w:val="231F20"/>
        </w:rPr>
        <w:t>If an orphan drug-designated product subsequently receives FDA approval for the disease for which it was designed, the product will be entitled to seven years of product exclusivity, which means that the FDA may not approve any other applications to market the same drug for the same indication, except in very limited circumstances (such as a showing of clinical superiority to the product with orphan exclusivity by means of greater effectiveness, greater safety or providing a major contribution to patient care or in instances of drug supply issues), for seven years. Orphan exclusivity does not block the approval of a different drug or biologic for the same rare disease or condition, nor does it block the approval of the same drug or biologic for different conditions. If a competitor obtains approval of the same drug, as defined by the FDA, or if our product candidate is determined to be the same drug as a competitor’s product for the same indication or disease, the competitor’s exclusivity could block the approval of our product candidate in the designated orphan indication for seven years, unless our product is demonstrated to be clinically superior to the competitor’s drug.</w:t>
      </w:r>
    </w:p>
    <w:p>
      <w:pPr>
        <w:spacing w:after="0" w:line="4"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9"/>
          <w:szCs w:val="19"/>
          <w:color w:val="231F20"/>
        </w:rPr>
        <w:t>A product with orphan drug designation may not receive orphan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Recent court cases have challenged the FDA’s approach to determining the scope of orphan drug exclusivity; however, at this time the agency continues to apply its long-standing interpretation of the governing regulations and has stated that it does not plan to change any orphan drug implementing regulations.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European Union Orphan Drug Designation</w:t>
      </w:r>
    </w:p>
    <w:p>
      <w:pPr>
        <w:spacing w:after="0" w:line="10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231F20"/>
        </w:rPr>
        <w:t>In the EU, orphan drug designation by the European Commission (the “EC”) provides regulatory and financial incentives for companies to develop and market therapies that meet the following requirements: (1) the product is intended for the diagnosis, prevention or treatment of life-threatening or chronically debilitating conditions;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To be considered for orphan drug designation in the EU, companies must provide data that demonstrate the plausibility for use of the investigational therapy in the treatment of the disease and establish that the drug has the potential to provide relevant advantages or a major contribution to patient care over existing therapies.</w:t>
      </w:r>
    </w:p>
    <w:p>
      <w:pPr>
        <w:spacing w:after="0" w:line="7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231F20"/>
        </w:rPr>
        <w:t>Among the incentives available to medicines designated as orphan drugs by the EC are ten-year market exclusivity in the EU after product approval, eligibility for conditional marketing authorization, protocol assistance from the European Medicines Agency at reduced fees during the product development phase and direct access to centralized marketing authorization in the EU. The exclusivity period may be reduced to six years if, at the end of the fifth year, the orphan drug designation criteria are no longer met, including where it is shown that the product is sufficiently profitable not to justify maintenance of market exclusivity. In addition,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of the product. Marketing authorization may also be granted to a similar medicinal product with the same orphan indication if the similar product is deemed safer, more effective or otherwise clinically superior to the original orphan medicinal product. Orphan drug designation must be requested before submitting an application for marketing authorization. Orphan drug designation does not, in itself, convey any advantage in, or shorten the duration of, the regulatory review and authorization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Pediatric Exclusivity and Pediatric Use</w:t>
      </w:r>
    </w:p>
    <w:p>
      <w:pPr>
        <w:spacing w:after="0" w:line="1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9"/>
          <w:szCs w:val="19"/>
          <w:color w:val="231F20"/>
        </w:rPr>
        <w:t>The Best Pharmaceuticals for Children Act (“BPCA”) provides NDA holders a six-month period of non-patent marketing exclusivity attached to any other exclusivity listed with FDA—patent or non-patent—for a drug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and agreement by the applicant to perform the requested studies, completion of the studies in accordance with the written request, and the acceptance by the FDA of the reports of the requested studies within the statutory timeframe.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the same drug product for the same indications. The issuance of a written request does not require the sponsor to undertake the described studies. Applications under the BPCA are treated as priority applications.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The Hatch-Waxman Act and Marketing Exclusivity</w:t>
      </w:r>
    </w:p>
    <w:p>
      <w:pPr>
        <w:spacing w:after="0" w:line="110"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9"/>
          <w:szCs w:val="19"/>
          <w:color w:val="231F20"/>
        </w:rPr>
        <w:t>In 1984, with passage of the Hatch-Waxman Amendments to the FDCA, Congress authorized the FDA to approve generic drugs that are the same as drugs previously approved by the FDA under the NDA provisions of the statute and also enacted Section 505(b)(2) of the FDCA. To obtain approval of a generic drug, an applicant must submit an abbreviated new drug application (“ANDA”) to the</w:t>
      </w:r>
    </w:p>
    <w:p>
      <w:pPr>
        <w:sectPr>
          <w:pgSz w:w="11880" w:h="15480" w:orient="portrait"/>
          <w:cols w:equalWidth="0" w:num="1">
            <w:col w:w="10460"/>
          </w:cols>
          <w:pgMar w:left="700" w:top="963" w:right="720" w:bottom="568" w:gutter="0" w:footer="0" w:header="0"/>
        </w:sectPr>
      </w:pPr>
    </w:p>
    <w:bookmarkStart w:id="35" w:name="page36"/>
    <w:bookmarkEnd w:id="35"/>
    <w:p>
      <w:pPr>
        <w:ind w:right="160"/>
        <w:spacing w:after="0" w:line="243" w:lineRule="auto"/>
        <w:rPr>
          <w:sz w:val="20"/>
          <w:szCs w:val="20"/>
          <w:color w:val="auto"/>
        </w:rPr>
      </w:pPr>
      <w:r>
        <w:rPr>
          <w:rFonts w:ascii="Times New Roman" w:cs="Times New Roman" w:eastAsia="Times New Roman" w:hAnsi="Times New Roman"/>
          <w:sz w:val="19"/>
          <w:szCs w:val="19"/>
          <w:color w:val="231F20"/>
        </w:rPr>
        <w:t>agency. In support of such applications, a generic manufacturer may rely on the preclinical and clinical testing conducted for a drug product previously approved under an NDA, known as the reference listed drug (“RLD”). 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w:t>
      </w:r>
    </w:p>
    <w:p>
      <w:pPr>
        <w:spacing w:after="0" w:line="6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9"/>
          <w:szCs w:val="19"/>
          <w:color w:val="231F20"/>
        </w:rPr>
        <w:t>In contrast,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where at least some of the information required for approval comes from studies not conducted by or for the applicant and for which the applicant has not obtained a right of reference. A Section 505(b)(2) applicant may eliminate the need to conduct certain nonclinical or clinical studies, if it can establish that reliance on studies conducted for a previously 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for example, they may be seeking approval to market a previously approved drug for new indications or for a new patient population that would require new clinical data to demonstrate safety or effectiveness. The FDA may then approve the new product for all or some of the label indications for which the RLD has been approved, or for any new indication sought by the Section 505(b)(2) applicant,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Upon NDA approval of a new chemical entity (“NCE”), which is a drug that contains no active moiety that has been approved by the FDA in any other NDA, that drug receives five years of marketing exclusivity. During the exclusivity period, the FDA cannot accept for review any ANDA or 505(b)(2) NDA submitted by another company for another version of such drug where the applicant does not own or have a legal right of reference to all the data required for approval. However, a follow-on product application may be submitted one year before NCE exclusivity expires if a Paragraph IV certification, which states that the listed patent for the RLD is invalid or will not be infringed by the follow-on product, is filed on an NCE patent and any time after approval if the application is filed based on a new indication or a new formulation.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Hatch-Waxman Act also provides three years of data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 -year exclusivity covers only the conditions of use associated with the new clinical investigations and does not prohibit the FDA from approving follow-on applications for drugs containing the original active agent. If there is no listed patent in the Orange Book, there may not be a Paragraph IV certification, and, thus, no ANDA or 505(b)(2) NDA may be filed before the expiration of the exclusivity period.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Patent Term Restoration</w:t>
      </w:r>
    </w:p>
    <w:p>
      <w:pPr>
        <w:spacing w:after="0" w:line="11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231F20"/>
        </w:rPr>
        <w:t>Depending upon the timing, duration and specifics of FDA approval of the use of our therapeutic candidates, some of our U.S. patents may be eligible for limited patent term extension under the Hatch-Waxman Act. The Hatch-Waxman Act permits a patent restoration term of up to five years as compensation for any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the expiration of the patent. The United States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 Vitro Diagnostic Tests for Biomarkers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231F20"/>
        </w:rPr>
        <w:t xml:space="preserve">For some of our product candidates, we plan to work with collaborators to develop or obtain access to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companion diagnostic tests to identify appropriate patients for these targeted therapies. If a sponsor or the FDA believes that a diagnostic test is essential for the safe and effective use of a corresponding therapeutic product, a sponsor will typically work with a collaborator to develop an appropriate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diagnostic product (“IVD”) for such use. IVDs are regulated by the FDA as medical devices, and since 2014 the agency has issued final and draft guidance documents that are intended to assist companies developing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companion diagnostic</w:t>
      </w:r>
    </w:p>
    <w:p>
      <w:pPr>
        <w:sectPr>
          <w:pgSz w:w="11880" w:h="15480" w:orient="portrait"/>
          <w:cols w:equalWidth="0" w:num="1">
            <w:col w:w="10480"/>
          </w:cols>
          <w:pgMar w:left="700" w:top="954" w:right="700" w:bottom="1440" w:gutter="0" w:footer="0" w:header="0"/>
        </w:sectPr>
      </w:pPr>
    </w:p>
    <w:bookmarkStart w:id="36" w:name="page37"/>
    <w:bookmarkEnd w:id="36"/>
    <w:p>
      <w:pPr>
        <w:ind w:right="60"/>
        <w:spacing w:after="0" w:line="286" w:lineRule="auto"/>
        <w:rPr>
          <w:sz w:val="20"/>
          <w:szCs w:val="20"/>
          <w:color w:val="auto"/>
        </w:rPr>
      </w:pPr>
      <w:r>
        <w:rPr>
          <w:rFonts w:ascii="Times New Roman" w:cs="Times New Roman" w:eastAsia="Times New Roman" w:hAnsi="Times New Roman"/>
          <w:sz w:val="19"/>
          <w:szCs w:val="19"/>
          <w:color w:val="231F20"/>
        </w:rPr>
        <w:t xml:space="preserve">devices and companies developing therapeutic products that depend on the use of a specific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companion diagnostic for the safe and effective use of the therapeutic product.</w:t>
      </w:r>
    </w:p>
    <w:p>
      <w:pPr>
        <w:spacing w:after="0" w:line="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231F20"/>
        </w:rPr>
        <w:t xml:space="preserve">The three types of marketing pathways for medical devices, including IVDs, are clearance of a premarket notification under Section 510(k) of the FDCA (“510(k)”), approval of a premarket approval application (“PMA”) or authorization of a De Novo classification request (“ </w:t>
      </w:r>
      <w:r>
        <w:rPr>
          <w:rFonts w:ascii="Times New Roman" w:cs="Times New Roman" w:eastAsia="Times New Roman" w:hAnsi="Times New Roman"/>
          <w:sz w:val="19"/>
          <w:szCs w:val="19"/>
          <w:i w:val="1"/>
          <w:iCs w:val="1"/>
          <w:color w:val="231F20"/>
        </w:rPr>
        <w:t>De Novo</w:t>
      </w:r>
      <w:r>
        <w:rPr>
          <w:rFonts w:ascii="Times New Roman" w:cs="Times New Roman" w:eastAsia="Times New Roman" w:hAnsi="Times New Roman"/>
          <w:sz w:val="19"/>
          <w:szCs w:val="19"/>
          <w:color w:val="231F20"/>
        </w:rPr>
        <w:t>”). If a company is required to perform clinical trials to support the safety and effectiveness of an IVD, and the IVD is viewed as a significant risk device, the sponsor will have to submit an investigational device exemption application (“IDE”) to the FDA, which is similar in format and function to an IND. If the diagnostic test and the therapeutic drug are studied together to support their respective approvals, any clinical trials involving both product candidates must meet both the IDE and IND requirements.</w:t>
      </w:r>
    </w:p>
    <w:p>
      <w:pPr>
        <w:spacing w:after="0" w:line="7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 xml:space="preserve">The FDA expects that the therapeutic sponsor will address the need for an IVD companion diagnostic device in its therapeutic product development plan and that, in most cases, the therapeutic product and its corresponding IVD companion diagnostic device will be developed contemporaneously. If the companion diagnostic test will be used to make critical treatment decisions such as patient selection, treatment assignment, or treatment arm, it will likely be considered a significant risk device for which a clinical trial will be required. After approval, the use of an IVD companion diagnostic device with a therapeutic product will be stipulated in the instructions for use in the labeling of both the diagnostic device and the corresponding therapeutic product. In addition, a diagnostic test that was approved through the PMA process, or one that was cleared through the 510(k) process or classified through the De Novo process, and placed on the market will be subject to many of the same regulatory requirements that apply to approved drugs. However, the FDA may decide that it is appropriate to approve such a therapeutic product without an approved or cleared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companion diagnostic device when the drug or therapeutic biologic is intended to treat a serious or life-threatening condition for which no satisfactory alternative treatment exists and the FDA determines that the benefits from the use of a product with an unapproved or uncleared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companion diagnostic device are so pronounced as to outweigh the risks from the lack of an approved or cleared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companion diagnostic device. The FDA encourages sponsors considering developing a therapeutic product that requires a companion diagnostic to request a meeting with both relevant device and therapeutic product review divisions to ensure that the product development plan will produce sufficient data to establish the safety and effectiveness of both the therapeutic product and the companion diagnostic. Because the FDA’s policies on companion diagnostics is set forth only in guidance, this policy is subject to change and is not legally binding.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European Union Regulation of Drug Products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231F20"/>
        </w:rPr>
        <w:t>In addition to regulations in the United States, we are and will be subject, either directly or through our distribution partners, to a variety of regulations in other jurisdictions governing, among other things, clinical trials, the privacy of personal data and commercial sales and distribution of our products, if approved.</w:t>
      </w:r>
    </w:p>
    <w:p>
      <w:pPr>
        <w:spacing w:after="0" w:line="5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9"/>
          <w:szCs w:val="19"/>
          <w:color w:val="231F20"/>
        </w:rPr>
        <w:t>Whether or not we obtain FDA approval for a product, we must obtain the requisite approvals from regulatory authorities in non- U.S. countries prior to the commencement of clinical trials or marketing of the product in those countries. Certain countries outside of the United States have a process that requires the submission of a clinical trial application much like an IND prior to the commencement of human clinical trials. In Europe, for example, a clinical trial application (“CTA”), must be submitted to the competent national health authority and to independent ethics committees in each country in which a company plans to conduct clinical trials. Once the CTA is approved in accordance with a country’s requirements, clinical trials may proceed in that country. Under the EU Clinical Trials Regulation, which was adopted in April 2014 and replaced the Clinical Trials Directive, a harmonized assessment and supervision process was implemented as of January 31, 2022 for clinical trials throughout the EU, via a Clinical Trials Information System (“CTIS”). The CTIS will contain the centralized EU portal and database for clinical trials conducted in the EU and will allow for a centralized review process. This harmonized submission process became mandatory for new CTA submissions to be filed beginning on February 1, 2023. As of January 31, 2025, all clinical trials, including those initiated prior to such date, are subject to the provisions of the Clinical Trials Regulation. Under the new centralized process, if the EU member state leading the CTA review approves or rejects the application, the decision will apply to all involved member states.</w:t>
      </w:r>
    </w:p>
    <w:p>
      <w:pPr>
        <w:spacing w:after="0" w:line="7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The requirements and process governing the conduct of clinical trials, product licensing, pricing and reimbursement vary from country to country, even though there is already some degree of legal harmonization in the EU member states resulting from the national implementation of underlying EU legislation. In all cases, the clinical trials are conducted in accordance with GCP and other applicable regulatory requirements.</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To obtain a marketing license for a new drug or medicinal product in the European Union, the sponsor must obtain approval of a marketing authorization application (“MAA”). The way in which a medicinal product can be approved in the European Union depends on the nature of the medicinal product.</w:t>
      </w:r>
    </w:p>
    <w:p>
      <w:pPr>
        <w:spacing w:after="0" w:line="5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231F20"/>
        </w:rPr>
        <w:t>The centralized procedure results in a single marketing authorization granted by the European Commission that is valid across the European Union, as well as in Iceland, Liechtenstein, and Norway. The centralized procedure is compulsory for human drugs that: (i) are derived from biotechnology processes, such as genetic engineering, (ii) contain a new active substance indicated for the treatment of certain diseases, such as HIV/AIDS, cancer, diabetes, neurodegenerative diseases, autoimmune and other immune dysfunctions and viral diseases, (iii) are officially designated “orphan drugs” (drugs used for rare human diseases) and (iv) are advanced-therapy medicines, such as gene-therapy, somatic cell-therapy or tissue-engineered medicines. The centralized procedure may at the request of the applicant also be used for human drugs which do not fall within the above mentioned categories if (a) the human drug contains a new active substance which was not previously authorized in the European Community; or (b) the applicant shows that the medicinal</w:t>
      </w:r>
    </w:p>
    <w:p>
      <w:pPr>
        <w:sectPr>
          <w:pgSz w:w="11880" w:h="15480" w:orient="portrait"/>
          <w:cols w:equalWidth="0" w:num="1">
            <w:col w:w="10460"/>
          </w:cols>
          <w:pgMar w:left="700" w:top="963" w:right="720" w:bottom="512" w:gutter="0" w:footer="0" w:header="0"/>
        </w:sectPr>
      </w:pPr>
    </w:p>
    <w:bookmarkStart w:id="37" w:name="page38"/>
    <w:bookmarkEnd w:id="37"/>
    <w:p>
      <w:pPr>
        <w:ind w:right="240"/>
        <w:spacing w:after="0" w:line="276" w:lineRule="auto"/>
        <w:rPr>
          <w:sz w:val="20"/>
          <w:szCs w:val="20"/>
          <w:color w:val="auto"/>
        </w:rPr>
      </w:pPr>
      <w:r>
        <w:rPr>
          <w:rFonts w:ascii="Times New Roman" w:cs="Times New Roman" w:eastAsia="Times New Roman" w:hAnsi="Times New Roman"/>
          <w:sz w:val="19"/>
          <w:szCs w:val="19"/>
          <w:color w:val="231F20"/>
        </w:rPr>
        <w:t>product constitutes a significant therapeutic, scientific or technical innovation or that the granting of authorization in the centralized procedure is in the interests of patients at the European Community level.</w:t>
      </w:r>
    </w:p>
    <w:p>
      <w:pPr>
        <w:spacing w:after="0" w:line="3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231F20"/>
        </w:rPr>
        <w:t>Under the centralized procedure in the European Union, the maximum timeframe for the evaluation of a marketing authorization application by the EMA is 210 days (excluding clock stops, when additional written or oral information is to be provided by the applicant in response to questions asked by the CHMP), with adoption of the actual marketing authorization by the European Commission thereafter. Accelerated evaluation might be granted by the CHMP in exceptional cases, when a medicinal product is expected to be of a major public health interest from the point of view of therapeutic innovation, defined by three cumulative criteria: the seriousness of the disease to be treated; the absence of an appropriate alternative therapeutic approach, and anticipation of exceptional high therapeutic benefit. In this circumstance, EMA ensures that the evaluation for the opinion of the CHMP is completed within 150 days (excluding clock stops) and the opinion issued thereafter.</w:t>
      </w:r>
    </w:p>
    <w:p>
      <w:pPr>
        <w:spacing w:after="0" w:line="70"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9"/>
          <w:szCs w:val="19"/>
          <w:color w:val="231F20"/>
        </w:rPr>
        <w:t>There are also two other possible routes to authorize medicinal products in several EU countries, which are available for investigational medicinal products for which the centralized procedure is not obligatory: the decentralized procedure and the mutual recognition procedure (“MRP”). Using the decentralized procedure, an applicant may apply for simultaneous authorization in more than one EU country of a medicinal product that has not yet been authorized in any EU country and that does not fall within the mandatory scope of the centralized procedure.</w:t>
      </w:r>
    </w:p>
    <w:p>
      <w:pPr>
        <w:spacing w:after="0" w:line="6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231F20"/>
        </w:rPr>
        <w:t>The MRP for the approval of human drugs is an alternative approach to facilitate individual national marketing authorizations within the European Union. Basically, the MRP may be applied for all human drugs for which the centralized procedure is not obligatory. The MRP is applicable to the majority of conventional medicinal products and is based on the principle of recognition of an already existing national marketing authorization by one or more member states. In the MRP, a marketing authorization for a drug already exists in one or more member states of the European Union and subsequently marketing authorization applications are made in other European Union member states by referring to the initial marketing authorization. The member state in which the marketing authorization was first granted will then act as the reference member state. The member states where the marketing authorization is subsequently applied for act as concerned member states. After a product assessment is completed by the reference member state, copies of the report are sent to all member states, together with the approved summary of product characteristics, labeling and package leaflet. The concerned member states then have 90 days to recognize the decision of the reference member state and the summary of product characteristics, labeling and package leaflet. National marketing authorizations within individual member states shall be granted within 30 days after acknowledgement of the agreement.</w:t>
      </w:r>
    </w:p>
    <w:p>
      <w:pPr>
        <w:spacing w:after="0" w:line="7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9"/>
          <w:szCs w:val="19"/>
          <w:color w:val="231F20"/>
        </w:rPr>
        <w:t>Should any member state refuse to recognize the marketing authorization by the reference member state, on the grounds of potential serious risk to public health, the issue will be referred to a coordination group. Within a timeframe of 60 days, member states shall, within the coordination group, make all efforts to reach a consensus. If this fails, the procedure is submitted to an EMA scientific committee for arbitration. The opinion of this EMA committee is then forwarded to the Commission, for the start of the decision-making process. As in the centralized procedure, this process entails consulting various European Commission Directorates General and the Standing Committee on Human Medicinal Products or Veterinary Medicinal Products, as appropriate.</w:t>
      </w:r>
    </w:p>
    <w:p>
      <w:pPr>
        <w:spacing w:after="0" w:line="7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231F20"/>
        </w:rPr>
        <w:t>In April 2023, the European Commission issued a proposal to revise and replace the existing general pharmaceutical legislation. As of December 2025, the three European Union institutions, the European Commission, the European Parliament and the Council of the European Union are in the process of negotiating the final content of the new Directive and Regulation. Once negotiations are complete, the European Parliament and the Council of the EU will vote on whether to approve the Directive and Regulation. If adopted and implemented as currently proposed, these revisions will significantly change several aspects of drug development and approval in the European Union.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European Union Regulation of IVD Products</w:t>
      </w:r>
    </w:p>
    <w:p>
      <w:pPr>
        <w:spacing w:after="0" w:line="1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9"/>
          <w:szCs w:val="19"/>
          <w:color w:val="231F20"/>
        </w:rPr>
        <w:t>In May 2022, the In Vitro Diagnostic Device Regulation (“IVDR”) (EU) 2017/746 became effective, replacing the previous IVD Directive (EU-Directive 98/79/EC). The IVDR was published in May 2017 and given a five-year transition period until its full implementation on May 26, 2022. Unlike the IVD Directive (EU-Directive 98/79/EC), the IVDR has binding legal force throughout every Member State. The major goals of the IVDR are to standardize diagnostic procedures within the EU, increase reliability of diagnostic analysis and enhance patient safety. Among other things, the IVDR introduces a new risk-based classification system for IVDs and requirements for IVD conformity assessments. Under the IVDR and subsequent amendments, IVDs already certified by a Notified Body under the IVD Directive may remain on the market until December 31, 2027, and IVDs certified without the involvement of a Notified Body may remain on the market for up to two additional years (until December 31, 2029) depending on the classification of the IVD. The manufacturers of such devices remaining on the market must comply with specific requirements in the IVDR, but ultimately, such products, as with all new IVDs, will have to undergo the IVDR’s conformity assessment procedures. In addition, IVDs in the highest risk class will have to be tested by a Designated Reference Laboratory. The IVDR imposes additional requirements relating to post-market surveillance and submission of post-market performance follow-up reports.</w:t>
      </w:r>
    </w:p>
    <w:p>
      <w:pPr>
        <w:spacing w:after="0" w:line="8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231F20"/>
        </w:rPr>
        <w:t>The EC has designated more than a dozen Notified Bodies to perform conformity assessments under the IVDR. MedTech Europe has issued guidance relating to the IVDR in several areas, e.g., clinical benefit, technical documentation, state of art, accessories, and EUDAMED.</w:t>
      </w:r>
    </w:p>
    <w:p>
      <w:pPr>
        <w:spacing w:after="0" w:line="58"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9"/>
          <w:szCs w:val="19"/>
          <w:color w:val="231F20"/>
        </w:rPr>
        <w:t>Most recently, on December 6, 2025, the European Commission released a proposal to amend the IVDR with the goal of simplifying the applicable rules, reducing the administrative burden on manufacturers, and enhancing the predictability and cost-effectiveness of</w:t>
      </w:r>
    </w:p>
    <w:p>
      <w:pPr>
        <w:sectPr>
          <w:pgSz w:w="11880" w:h="15480" w:orient="portrait"/>
          <w:cols w:equalWidth="0" w:num="1">
            <w:col w:w="10460"/>
          </w:cols>
          <w:pgMar w:left="700" w:top="954" w:right="720" w:bottom="564" w:gutter="0" w:footer="0" w:header="0"/>
        </w:sectPr>
      </w:pPr>
    </w:p>
    <w:bookmarkStart w:id="38" w:name="page39"/>
    <w:bookmarkEnd w:id="38"/>
    <w:p>
      <w:pPr>
        <w:ind w:right="60"/>
        <w:spacing w:after="0" w:line="266" w:lineRule="auto"/>
        <w:rPr>
          <w:sz w:val="20"/>
          <w:szCs w:val="20"/>
          <w:color w:val="auto"/>
        </w:rPr>
      </w:pPr>
      <w:r>
        <w:rPr>
          <w:rFonts w:ascii="Times New Roman" w:cs="Times New Roman" w:eastAsia="Times New Roman" w:hAnsi="Times New Roman"/>
          <w:sz w:val="19"/>
          <w:szCs w:val="19"/>
          <w:color w:val="231F20"/>
        </w:rPr>
        <w:t>the certification procedure while maintaining a high level of public health protections for EU patients and consumers. However, it is currently unknown whether such amendments to the IVDR will be enacted, or even if they become effective, whether they will have a significant impact on manufacturers distributing IVDs in the European Union.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Regulation of Pharmaceutical Products in the United Kingdom</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As of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spacing w:after="0" w:line="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231F20"/>
        </w:rPr>
        <w:t>The Medicines and Healthcare products Regulatory Agency, or MHRA, is responsible for regulating medicinal products in the United Kingdom (Great Britain and Northern Ireland). An MHRA authorization must be obtained for each medicine to be marketed in the regions that comprise the United Kingdom. On January 1, 2021, all existing European Union marketing authorizations were converted to United Kingdom marketing authorizations subject to a manufacturer opt-out. Since then, the United Kingdom has introduced separate, specific processes for regulatory submissions and medicinal product marketing authorization.</w:t>
      </w:r>
    </w:p>
    <w:p>
      <w:pPr>
        <w:spacing w:after="0" w:line="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231F20"/>
        </w:rPr>
        <w:t>The Windsor Framework, which was negotiated between the United Kingdom and the European Commission and became effective as of January 1, 2025, requires changes to the regulatory system that was previously in effect under the Northern Ireland Protocol, including the regulation of drug products in the United Kingdom. Specifically, the MHRA will be responsible for approving all medicines intended to be marketed in the United Kingdom (including Northern Ireland), while the EMA will no longer be involved in approving medicines intended for sale in Northern Ireland.</w:t>
      </w:r>
    </w:p>
    <w:p>
      <w:pPr>
        <w:spacing w:after="0" w:line="71" w:lineRule="exact"/>
        <w:rPr>
          <w:sz w:val="20"/>
          <w:szCs w:val="20"/>
          <w:color w:val="auto"/>
        </w:rPr>
      </w:pPr>
    </w:p>
    <w:p>
      <w:pPr>
        <w:ind w:right="880"/>
        <w:spacing w:after="0" w:line="289" w:lineRule="auto"/>
        <w:rPr>
          <w:sz w:val="20"/>
          <w:szCs w:val="20"/>
          <w:color w:val="auto"/>
        </w:rPr>
      </w:pPr>
      <w:r>
        <w:rPr>
          <w:rFonts w:ascii="Times New Roman" w:cs="Times New Roman" w:eastAsia="Times New Roman" w:hAnsi="Times New Roman"/>
          <w:sz w:val="19"/>
          <w:szCs w:val="19"/>
          <w:color w:val="231F20"/>
        </w:rPr>
        <w:t>It is expected that the establishment of a separate United Kingdom authorization system, albeit with transitional recognition procedures in the United Kingdom, will lead to additional regulatory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Rest of World Government 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requirements governing the conduct of clinical trials, product licensing, pricing and reimbursement vary from country to country.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In all cases, the clinical trials must be conducted in accordance with GCP and the other applicable regulatory requirements.</w:t>
      </w:r>
    </w:p>
    <w:p>
      <w:pPr>
        <w:spacing w:after="0" w:line="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9"/>
          <w:szCs w:val="19"/>
          <w:color w:val="231F20"/>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Other Healthcare Laws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31F20"/>
        </w:rPr>
        <w:t>Although we currently do not have any products on the market, if our product candidates are approved in the United States, we will have to comply with various U.S. federal and state laws, rules and regulations pertaining to healthcare fraud and abuse, including anti-kickback laws and physician self-referral laws, rules and regulations. Violations of the fraud and abuse laws are punishable by criminal and civil sanctions, including, in some instances, exclusion from participation in federal and state healthcare programs, including Medicare and Medicaid. These laws include the following:</w:t>
      </w:r>
    </w:p>
    <w:p>
      <w:pPr>
        <w:spacing w:after="0" w:line="85" w:lineRule="exact"/>
        <w:rPr>
          <w:sz w:val="20"/>
          <w:szCs w:val="20"/>
          <w:color w:val="auto"/>
        </w:rPr>
      </w:pPr>
    </w:p>
    <w:p>
      <w:pPr>
        <w:ind w:left="940" w:hanging="466"/>
        <w:spacing w:after="0" w:line="259" w:lineRule="auto"/>
        <w:tabs>
          <w:tab w:leader="none" w:pos="940" w:val="left"/>
        </w:tabs>
        <w:numPr>
          <w:ilvl w:val="0"/>
          <w:numId w:val="18"/>
        </w:numPr>
        <w:rPr>
          <w:rFonts w:ascii="Arial" w:cs="Arial" w:eastAsia="Arial" w:hAnsi="Arial"/>
          <w:sz w:val="19"/>
          <w:szCs w:val="19"/>
          <w:color w:val="231F20"/>
        </w:rPr>
      </w:pPr>
      <w:r>
        <w:rPr>
          <w:rFonts w:ascii="Times New Roman" w:cs="Times New Roman" w:eastAsia="Times New Roman" w:hAnsi="Times New Roman"/>
          <w:sz w:val="19"/>
          <w:szCs w:val="19"/>
          <w:color w:val="231F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8" w:lineRule="exact"/>
        <w:rPr>
          <w:rFonts w:ascii="Arial" w:cs="Arial" w:eastAsia="Arial" w:hAnsi="Arial"/>
          <w:sz w:val="19"/>
          <w:szCs w:val="19"/>
          <w:color w:val="231F20"/>
        </w:rPr>
      </w:pPr>
    </w:p>
    <w:p>
      <w:pPr>
        <w:ind w:left="940" w:right="20" w:hanging="466"/>
        <w:spacing w:after="0" w:line="259" w:lineRule="auto"/>
        <w:tabs>
          <w:tab w:leader="none" w:pos="940" w:val="left"/>
        </w:tabs>
        <w:numPr>
          <w:ilvl w:val="0"/>
          <w:numId w:val="18"/>
        </w:numPr>
        <w:rPr>
          <w:rFonts w:ascii="Arial" w:cs="Arial" w:eastAsia="Arial" w:hAnsi="Arial"/>
          <w:sz w:val="19"/>
          <w:szCs w:val="19"/>
          <w:color w:val="231F20"/>
        </w:rPr>
      </w:pPr>
      <w:r>
        <w:rPr>
          <w:rFonts w:ascii="Times New Roman" w:cs="Times New Roman" w:eastAsia="Times New Roman" w:hAnsi="Times New Roman"/>
          <w:sz w:val="19"/>
          <w:szCs w:val="19"/>
          <w:color w:val="231F20"/>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0" w:lineRule="exact"/>
        <w:rPr>
          <w:rFonts w:ascii="Arial" w:cs="Arial" w:eastAsia="Arial" w:hAnsi="Arial"/>
          <w:sz w:val="19"/>
          <w:szCs w:val="19"/>
          <w:color w:val="231F20"/>
        </w:rPr>
      </w:pPr>
    </w:p>
    <w:p>
      <w:pPr>
        <w:ind w:left="940" w:right="260" w:hanging="466"/>
        <w:spacing w:after="0" w:line="265" w:lineRule="auto"/>
        <w:tabs>
          <w:tab w:leader="none" w:pos="940" w:val="left"/>
        </w:tabs>
        <w:numPr>
          <w:ilvl w:val="0"/>
          <w:numId w:val="18"/>
        </w:numPr>
        <w:rPr>
          <w:rFonts w:ascii="Arial" w:cs="Arial" w:eastAsia="Arial" w:hAnsi="Arial"/>
          <w:sz w:val="19"/>
          <w:szCs w:val="19"/>
          <w:color w:val="231F20"/>
        </w:rPr>
      </w:pPr>
      <w:r>
        <w:rPr>
          <w:rFonts w:ascii="Times New Roman" w:cs="Times New Roman" w:eastAsia="Times New Roman" w:hAnsi="Times New Roman"/>
          <w:sz w:val="19"/>
          <w:szCs w:val="19"/>
          <w:color w:val="231F20"/>
        </w:rPr>
        <w:t>the federal Health Insurance Portability and Accountability Act of 1996 (“HIPAA”) imposes criminal and civil liability for executing a scheme to defraud any healthcare benefit program or making false statements relating to healthcare matters;</w:t>
      </w:r>
    </w:p>
    <w:p>
      <w:pPr>
        <w:spacing w:after="0" w:line="73" w:lineRule="exact"/>
        <w:rPr>
          <w:rFonts w:ascii="Arial" w:cs="Arial" w:eastAsia="Arial" w:hAnsi="Arial"/>
          <w:sz w:val="19"/>
          <w:szCs w:val="19"/>
          <w:color w:val="231F20"/>
        </w:rPr>
      </w:pPr>
    </w:p>
    <w:p>
      <w:pPr>
        <w:ind w:left="940" w:right="160" w:hanging="466"/>
        <w:spacing w:after="0" w:line="266" w:lineRule="auto"/>
        <w:tabs>
          <w:tab w:leader="none" w:pos="940" w:val="left"/>
        </w:tabs>
        <w:numPr>
          <w:ilvl w:val="0"/>
          <w:numId w:val="18"/>
        </w:numPr>
        <w:rPr>
          <w:rFonts w:ascii="Arial" w:cs="Arial" w:eastAsia="Arial" w:hAnsi="Arial"/>
          <w:sz w:val="19"/>
          <w:szCs w:val="19"/>
          <w:color w:val="231F20"/>
        </w:rPr>
      </w:pPr>
      <w:r>
        <w:rPr>
          <w:rFonts w:ascii="Times New Roman" w:cs="Times New Roman" w:eastAsia="Times New Roman" w:hAnsi="Times New Roman"/>
          <w:sz w:val="19"/>
          <w:szCs w:val="19"/>
          <w:color w:val="231F20"/>
        </w:rPr>
        <w:t>HIPAA, as amended by the Health Information Technology for Economic and Clinical Health (“HITECH”)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9"/>
          <w:szCs w:val="19"/>
          <w:color w:val="231F20"/>
        </w:rPr>
      </w:pPr>
    </w:p>
    <w:p>
      <w:pPr>
        <w:ind w:left="940" w:right="140" w:hanging="466"/>
        <w:spacing w:after="0" w:line="265" w:lineRule="auto"/>
        <w:tabs>
          <w:tab w:leader="none" w:pos="940" w:val="left"/>
        </w:tabs>
        <w:numPr>
          <w:ilvl w:val="0"/>
          <w:numId w:val="18"/>
        </w:numPr>
        <w:rPr>
          <w:rFonts w:ascii="Arial" w:cs="Arial" w:eastAsia="Arial" w:hAnsi="Arial"/>
          <w:sz w:val="19"/>
          <w:szCs w:val="19"/>
          <w:color w:val="231F20"/>
        </w:rPr>
      </w:pPr>
      <w:r>
        <w:rPr>
          <w:rFonts w:ascii="Times New Roman" w:cs="Times New Roman" w:eastAsia="Times New Roman" w:hAnsi="Times New Roman"/>
          <w:sz w:val="19"/>
          <w:szCs w:val="19"/>
          <w:color w:val="231F20"/>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73" w:lineRule="exact"/>
        <w:rPr>
          <w:rFonts w:ascii="Arial" w:cs="Arial" w:eastAsia="Arial" w:hAnsi="Arial"/>
          <w:sz w:val="19"/>
          <w:szCs w:val="19"/>
          <w:color w:val="231F20"/>
        </w:rPr>
      </w:pPr>
    </w:p>
    <w:p>
      <w:pPr>
        <w:jc w:val="both"/>
        <w:ind w:left="940" w:right="660" w:hanging="466"/>
        <w:spacing w:after="0" w:line="288" w:lineRule="auto"/>
        <w:tabs>
          <w:tab w:leader="none" w:pos="940" w:val="left"/>
        </w:tabs>
        <w:numPr>
          <w:ilvl w:val="0"/>
          <w:numId w:val="18"/>
        </w:numPr>
        <w:rPr>
          <w:rFonts w:ascii="Arial" w:cs="Arial" w:eastAsia="Arial" w:hAnsi="Arial"/>
          <w:sz w:val="19"/>
          <w:szCs w:val="19"/>
          <w:color w:val="231F20"/>
        </w:rPr>
      </w:pPr>
      <w:r>
        <w:rPr>
          <w:rFonts w:ascii="Times New Roman" w:cs="Times New Roman" w:eastAsia="Times New Roman" w:hAnsi="Times New Roman"/>
          <w:sz w:val="19"/>
          <w:szCs w:val="19"/>
          <w:color w:val="231F20"/>
        </w:rPr>
        <w:t>the federal transparency requirements under the Physician Payments Sunshine Act require manufacturers of FDA-approved drugs, devices, biologics and medical supplies covered by Medicare, Medicaid or the Children’s Health</w:t>
      </w:r>
    </w:p>
    <w:p>
      <w:pPr>
        <w:sectPr>
          <w:pgSz w:w="11880" w:h="15480" w:orient="portrait"/>
          <w:cols w:equalWidth="0" w:num="1">
            <w:col w:w="10480"/>
          </w:cols>
          <w:pgMar w:left="700" w:top="963" w:right="700" w:bottom="539" w:gutter="0" w:footer="0" w:header="0"/>
        </w:sectPr>
      </w:pPr>
    </w:p>
    <w:bookmarkStart w:id="39" w:name="page40"/>
    <w:bookmarkEnd w:id="39"/>
    <w:p>
      <w:pPr>
        <w:ind w:left="940" w:right="60"/>
        <w:spacing w:after="0" w:line="266" w:lineRule="auto"/>
        <w:rPr>
          <w:sz w:val="20"/>
          <w:szCs w:val="20"/>
          <w:color w:val="auto"/>
        </w:rPr>
      </w:pPr>
      <w:r>
        <w:rPr>
          <w:rFonts w:ascii="Times New Roman" w:cs="Times New Roman" w:eastAsia="Times New Roman" w:hAnsi="Times New Roman"/>
          <w:sz w:val="19"/>
          <w:szCs w:val="19"/>
          <w:color w:val="231F20"/>
        </w:rPr>
        <w:t>Insurance Program to report, on an annual basis, to the Centers for Medicare and Medicaid Services (“CMS”) information related to payments and other transfers of value to physicians, teaching hospitals, and certain advanced non-physician healthcare practitioners and physician ownership and investment interests; and</w:t>
      </w:r>
    </w:p>
    <w:p>
      <w:pPr>
        <w:spacing w:after="0" w:line="72" w:lineRule="exact"/>
        <w:rPr>
          <w:sz w:val="20"/>
          <w:szCs w:val="20"/>
          <w:color w:val="auto"/>
        </w:rPr>
      </w:pPr>
    </w:p>
    <w:p>
      <w:pPr>
        <w:ind w:left="940" w:right="140" w:hanging="465"/>
        <w:spacing w:after="0" w:line="266" w:lineRule="auto"/>
        <w:tabs>
          <w:tab w:leader="none" w:pos="940" w:val="left"/>
        </w:tabs>
        <w:numPr>
          <w:ilvl w:val="0"/>
          <w:numId w:val="19"/>
        </w:numPr>
        <w:rPr>
          <w:rFonts w:ascii="Arial" w:cs="Arial" w:eastAsia="Arial" w:hAnsi="Arial"/>
          <w:sz w:val="19"/>
          <w:szCs w:val="19"/>
          <w:color w:val="231F20"/>
        </w:rPr>
      </w:pPr>
      <w:r>
        <w:rPr>
          <w:rFonts w:ascii="Times New Roman" w:cs="Times New Roman" w:eastAsia="Times New Roman" w:hAnsi="Times New Roman"/>
          <w:sz w:val="19"/>
          <w:szCs w:val="19"/>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6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231F20"/>
        </w:rPr>
        <w:t>Some state laws require pharmaceutical or medical device companies to comply with the relevant industry’s voluntary compliance guidelines and the relevant compliance guidance promulgated by the federal government in addition to requiring drug manufacturers to report information related to payments to physicians and other healthcare providers or marketing expenditures.</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State and foreign laws also govern the privacy and security of health information in some circumstances, many of which differ from each other in significant ways and often are not preempted by HIPAA, thus complicating compliance efforts. We also are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Pharmaceutical Coverage, Pricing, and Reimbursement</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231F20"/>
        </w:rPr>
        <w:t>Significant uncertainty exists as to the coverage and reimbursement status of products approved by the FDA and other government authorities. Sales of our products, when and if approved for marketing in the United States, will depend, in part, on the extent to which our products will be covered by third-party payors, such as federal, state, and foreign government healthcare programs, commercial insurance and managed healthcare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In addition, these third-party payors are increasingly reducing reimbursements for medical products, drugs and services. Furthermore,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231F20"/>
        </w:rPr>
        <w:t>In Europe and other countries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Healthcare Reform</w:t>
      </w:r>
    </w:p>
    <w:p>
      <w:pPr>
        <w:spacing w:after="0" w:line="11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In the United States and some foreign jurisdictions, there have been, and continue to be, several legislative and regulatory changes and proposed changes regarding the healthcare system that could prevent or delay marketing approval of product and therapeutic candidates, restrict or regulate post-approval activities, and affect the ability to profitably sell product and therapeutic candidates that obtain marketing approval. The FDA’s and other regulatory authorities’ policies may change and additional government regulations may be enacted that could prevent, limit or delay regulatory approval of our product and therapeutic candidates. In addition, future legislative and regulatory proposals may materially impact the ability of the FDA and other regulatory agencies to operate as they have historically operated. We cannot be sure whether additional legislative changes will be enacted, or whether any of the FDA’s regulations, guidance or interpretations will be changed, or what the impact of such changes on the agency and its scientific review staff, if any, may be. For example, negotiations on the next FDA user fee reauthorization package began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NDAs and other activities supported by user fees assessed against industry.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spacing w:after="0" w:line="8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For example, the Patient Protection and Affordable Care Act, as amended by the Health Care and Education Reconciliation Act (collectively, the “ACA”), was enacted in March 2010 and has had a significant impact on the healthcare industry in the United States. The ACA expanded coverage for the uninsured while at the same time containing overall healthcare costs. With regard to</w:t>
      </w:r>
    </w:p>
    <w:p>
      <w:pPr>
        <w:sectPr>
          <w:pgSz w:w="11880" w:h="15480" w:orient="portrait"/>
          <w:cols w:equalWidth="0" w:num="1">
            <w:col w:w="10480"/>
          </w:cols>
          <w:pgMar w:left="700" w:top="963" w:right="700" w:bottom="453" w:gutter="0" w:footer="0" w:header="0"/>
        </w:sectPr>
      </w:pPr>
    </w:p>
    <w:bookmarkStart w:id="40" w:name="page41"/>
    <w:bookmarkEnd w:id="40"/>
    <w:p>
      <w:pPr>
        <w:ind w:right="40"/>
        <w:spacing w:after="0" w:line="252" w:lineRule="auto"/>
        <w:rPr>
          <w:sz w:val="20"/>
          <w:szCs w:val="20"/>
          <w:color w:val="auto"/>
        </w:rPr>
      </w:pPr>
      <w:r>
        <w:rPr>
          <w:rFonts w:ascii="Times New Roman" w:cs="Times New Roman" w:eastAsia="Times New Roman" w:hAnsi="Times New Roman"/>
          <w:sz w:val="19"/>
          <w:szCs w:val="19"/>
          <w:color w:val="231F20"/>
        </w:rPr>
        <w:t>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such manufacturers under the rebate program and extended the program to individuals enrolled in Medicaid managed care organizations; established annual fees on manufacturers of certain branded prescription drugs; and created a new Medicare Part D coverage gap discount program. We expect that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7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231F20"/>
        </w:rPr>
        <w:t>Additionally, on December 20, 2019, the Further Consolidated Appropriations Act for 2020 was signed into law (P.L. 116-94) and includes a piece of bipartisan legislation called the Creating and Restoring Equal Access to Equivalent Samples Act of 2019 (“CREATES Act”). The CREATES Act was enacted to address the concern articulated by both the FDA and others in the industry that some brand manufacturers had improperly restricted the distribution of their products, including by invoking the existence of a REMS for certain products, to deny generic product developers access to samples of brand products. Because generic product developers need samples of an RLD to conduct certain comparative testing required by the FDA, some have attributed the inability to timely obtain samples as a cause of delay in the entry of generic products. To remedy this concern, the CREATES Act establishes a private cause of action that permits a generic product developer to sue the brand manufacturer to compel it to furnish the necessary samples on “commercially reasonable, market-based terms.”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For a drug product to receive federal reimbursement under the Medicaid or Medicare Part B programs or to be sold directly to U.S. government agencies, the manufacturer must extend discounts to entities eligible to participate in the 340B Drug Pricing Program. The maximum amount that a manufacturer may charge a 340B covered entity for a given product is the average manufacturer price, or AMP, reduced by the rebate amount paid by the manufacturer to Medicaid for each unit of that product.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7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9"/>
          <w:szCs w:val="19"/>
          <w:color w:val="231F20"/>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2021 Consolidated Appropriations Act signed into law on December 27, 2020 incorporated extensive healthcare provisions and amendments to existing laws, including a requirement that all manufacturers of drug products covered under Medicare Part B report the product’s average sales price to CMS beginning on January 1, 2022, subject to enforcement via civil money penalties. The U.S. Department of Health and Human Services (“DHHS”) has also solicited feedback on various measures intended to lower drug prices and reduce the out-of-pocket costs of drugs and has implemented others under its existing authority.</w:t>
      </w:r>
    </w:p>
    <w:p>
      <w:pPr>
        <w:spacing w:after="0" w:line="7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231F20"/>
        </w:rPr>
        <w:t>In August 2022, President Biden signed into the law the Inflation Reduction Act of 2022 (“IRA”). The IRA has multiple provisions that may impact the prices of drug products that are both sold into the Medicare program and throughout the United States. For example, a manufacturer of a drug or biological product covered by Medicare Parts B or D must pay a rebate to the federal government if the drug product’s price increases faster than the rate of inflation. This calculation is made on a product-by-product basis and the amount of the rebate owed to the federal government is directly dependent on the volume of a drug product that is paid for by Medicare Parts B or D. Additionally,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announcing the first round of negotiated prices for the first 10 drug products in August 2024, which will become applicable for payment year 2026. The second round of negotiated prices for 15 drug products was announced in November 2025.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30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231F20"/>
        </w:rPr>
        <w:t>On May 12, 2025, an executive order was issued by the Trump Administration to implement a most favored nation ("MFN") drug pricing policy that would tie U.S. drug prices to the prices paid for drugs in other countries. The Trump Administration has continued to exert pressure on drug manufacturers to implement MFN pricing, including by suggesting that the administration may impose significant tariffs on pharmaceuticals if such manufacturers do not reach agreements to implement MFN pricing.</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231F20"/>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recent years, several states have formed prescription drug affordability boards (“PDABs”).</w:t>
      </w:r>
    </w:p>
    <w:p>
      <w:pPr>
        <w:sectPr>
          <w:pgSz w:w="11880" w:h="15480" w:orient="portrait"/>
          <w:cols w:equalWidth="0" w:num="1">
            <w:col w:w="10460"/>
          </w:cols>
          <w:pgMar w:left="700" w:top="963" w:right="720" w:bottom="375" w:gutter="0" w:footer="0" w:header="0"/>
        </w:sectPr>
      </w:pPr>
    </w:p>
    <w:bookmarkStart w:id="41" w:name="page42"/>
    <w:bookmarkEnd w:id="41"/>
    <w:p>
      <w:pPr>
        <w:spacing w:after="0" w:line="249" w:lineRule="auto"/>
        <w:rPr>
          <w:sz w:val="20"/>
          <w:szCs w:val="20"/>
          <w:color w:val="auto"/>
        </w:rPr>
      </w:pPr>
      <w:r>
        <w:rPr>
          <w:rFonts w:ascii="Times New Roman" w:cs="Times New Roman" w:eastAsia="Times New Roman" w:hAnsi="Times New Roman"/>
          <w:sz w:val="19"/>
          <w:szCs w:val="19"/>
          <w:color w:val="231F20"/>
        </w:rPr>
        <w:t>Much like the IRA’s drug price negotiation program, these PDABs have attempted to implement upper payment limits (“UPLs”) on drugs sold in their respective states in both public and commercial health plans. In August 2023, Colorado’s PDAB announced a list of five prescription drugs that would undergo an affordability review. The effects of these efforts remain uncertain pending the outcomes of several federal lawsuits challenging state authority to regulate prescription drug payment limits. In December 2020, the U.S. Supreme Court held unanimously that federal law does not preempt the states’ ability to regulate pharmaceutical benefit managers (“PBMs”) and other members of the healthcare and pharmaceutical supply chain, an important decision that may lead to further and more aggressive efforts by states in this area. The Federal Trade Commission (“FTC”) in mid -2022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pharmaceutical product developers like us.</w:t>
      </w:r>
    </w:p>
    <w:p>
      <w:pPr>
        <w:spacing w:after="0" w:line="7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any future drug products for which we secure marketing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Manufacturing Requirements</w:t>
      </w:r>
    </w:p>
    <w:p>
      <w:pPr>
        <w:spacing w:after="0" w:line="1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We and our third-party manufacturers must comply with applicable cGMP requirements. The cGMP requirements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 approval inspection before we can use them to manufacture commercial products. We and our third- party manufacturers are also subject to periodic announced or for- cause unannounced inspections of facilities by the FDA and other authorities, including procedures and operations used in the testing and manufacture of our commercial products, if any, to assess our compliance with applicable regulations. Failure to comply with statutory and regulatory requirements subjects a manufacturer to possible legal or regulatory action, including, among other things, warning or other enforcement letters, voluntary corrective action, the seizure of products, injunctions, consent decrees placing significant restrictions on or suspending manufacturing operations, disgorgement of profits, and other civil and criminal penalties.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Other Regulatory Requirements</w:t>
      </w:r>
    </w:p>
    <w:p>
      <w:pPr>
        <w:spacing w:after="0" w:line="1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231F20"/>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authority,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negatively impact our business, operating results and financial condition.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Human Capital</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9"/>
          <w:szCs w:val="19"/>
          <w:color w:val="231F20"/>
        </w:rPr>
        <w:t>As of December 31, 2025, we employed 317 employees, all of whom were full-time employees. A significant number of our management and employees have had prior experience with pharmaceutical, biotechnology or medical product companies. None of our employees are represented by a labor union or covered under a collective bargaining agreement. Management considers relations with our employees to be good. Our approach to attracting, engaging, and aligning our talent is driven by our values statement; making an impact through innovation, inclusion, and inspiration. These values are core to who we are as an organization and what drives us to reimagine possible for science, for medicine, and for human health.</w:t>
      </w:r>
    </w:p>
    <w:p>
      <w:pPr>
        <w:spacing w:after="0" w:line="7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u w:val="single" w:color="auto"/>
          <w:color w:val="231F20"/>
        </w:rPr>
        <w:t>Our Workforce Strategy:</w:t>
      </w:r>
      <w:r>
        <w:rPr>
          <w:rFonts w:ascii="Times New Roman" w:cs="Times New Roman" w:eastAsia="Times New Roman" w:hAnsi="Times New Roman"/>
          <w:sz w:val="19"/>
          <w:szCs w:val="19"/>
          <w:color w:val="231F20"/>
        </w:rPr>
        <w:t xml:space="preserve"> Critical to fulfilling our mission is our ability to build and retain an exceptionally skilled, highly innovative team that shares a purposeful connection with the communities we serve and in which each member plays a unique and important role. We understand that to do this, we must remain an employer of choice for top talent and continuously find novel ways to maintain a culture that emphasizes respect, inclusion, collaboration, and continuous development. We regularly conduct surveys as a means of gaining employee insights, and we use the data to inform workforce engagement initiatives aligned with our strategy and culture. Additionally, we invest in regular leadership and management development programming designed to strengthen coaching and communication capabilities and, by extension, each manager’s ability to build, engage, and develop high-performing teams at every level of the organization. To support our ability to recruit top talent in a competitive hiring environment, we offer a differentiated total rewards package that includes base salary, cash bonuses aligned to company and individual achievement, compelling benefits, and equity compensation for all employees. We believe that providing employees with an ownership interest in Wave reinforces a shared commitment to our long -term success and value creation. We were previously recognized by the Boston Business Journal and won the distinction of being one of the 2024 “Best Places to Work”, which underscores our employees’ recognition of our collective focus,</w:t>
      </w:r>
    </w:p>
    <w:p>
      <w:pPr>
        <w:sectPr>
          <w:pgSz w:w="11880" w:h="15480" w:orient="portrait"/>
          <w:cols w:equalWidth="0" w:num="1">
            <w:col w:w="10480"/>
          </w:cols>
          <w:pgMar w:left="700" w:top="963" w:right="700" w:bottom="476" w:gutter="0" w:footer="0" w:header="0"/>
        </w:sectPr>
      </w:pPr>
    </w:p>
    <w:bookmarkStart w:id="42" w:name="page43"/>
    <w:bookmarkEnd w:id="42"/>
    <w:p>
      <w:pPr>
        <w:ind w:right="100"/>
        <w:spacing w:after="0" w:line="266" w:lineRule="auto"/>
        <w:rPr>
          <w:sz w:val="20"/>
          <w:szCs w:val="20"/>
          <w:color w:val="auto"/>
        </w:rPr>
      </w:pPr>
      <w:r>
        <w:rPr>
          <w:rFonts w:ascii="Times New Roman" w:cs="Times New Roman" w:eastAsia="Times New Roman" w:hAnsi="Times New Roman"/>
          <w:sz w:val="19"/>
          <w:szCs w:val="19"/>
          <w:color w:val="231F20"/>
        </w:rPr>
        <w:t>resilience, and commitment to our mission of unlocking the broad potential of RNA medicines to transform human health. This commitment is company-wide, and our Board of Directors remains actively involved in overseeing human capital strategy, providing input on key decisions related to succession planning, compensation, and the continued development of our workforce.</w:t>
      </w:r>
    </w:p>
    <w:p>
      <w:pPr>
        <w:spacing w:after="0" w:line="5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u w:val="single" w:color="auto"/>
          <w:color w:val="353334"/>
        </w:rPr>
        <w:t>Environmental Health and Safety</w:t>
      </w:r>
      <w:r>
        <w:rPr>
          <w:rFonts w:ascii="Times New Roman" w:cs="Times New Roman" w:eastAsia="Times New Roman" w:hAnsi="Times New Roman"/>
          <w:sz w:val="19"/>
          <w:szCs w:val="19"/>
          <w:color w:val="353334"/>
        </w:rPr>
        <w:t>: Compliance with environmental, health and safety (“EH&amp;S”) laws and regulations forms the basis of the EH&amp;S policy and programs we have in place, which include occupational health and safety measures that apply to all of our employees, contractors and visitors. These programs detail the proactive, risk-based approach that we take to prevent workplace injuries and protect the health and safety of our employees and the communities around us. In addition, we engage independent third parties to evaluate and audit our compliance with EH&amp;S laws and regulations. We foster a culture that strives to embed safety into all aspects of our operations, which includes implementing design safeguards for our employees and patients. Our EH&amp;S management system engages all levels of the organization to monitor and track the effectiveness of our programs, ensure EH&amp;S compliance, respond to incidents and manage corrective actions to reinforce safeguards. Our training programs provide training to our employees that is commensurate with their level of risk exposure and are designed to ensure that employees have the knowledge and equipment available to mitigate risk. Employees are also required to report any incidents, no matter how small, and are encouraged to voice any health or safety concerns to management or a member of our EH&amp;S team.</w:t>
      </w:r>
    </w:p>
    <w:p>
      <w:pPr>
        <w:spacing w:after="0" w:line="77"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9"/>
          <w:szCs w:val="19"/>
          <w:u w:val="single" w:color="auto"/>
          <w:color w:val="231F20"/>
        </w:rPr>
        <w:t>Advocacy and Community Engagement:</w:t>
      </w:r>
      <w:r>
        <w:rPr>
          <w:rFonts w:ascii="Times New Roman" w:cs="Times New Roman" w:eastAsia="Times New Roman" w:hAnsi="Times New Roman"/>
          <w:sz w:val="19"/>
          <w:szCs w:val="19"/>
          <w:color w:val="231F20"/>
        </w:rPr>
        <w:t xml:space="preserve"> Our community engagement activities are focused on seeking to better understand the lived experience of people impacted by rare and prevalent diseases and identifying opportunities to support these communities. We believe that listening to, learning from, and partnering with individuals impacted by the diseases we are aiming to address, including families and caregivers, connects us more deeply to our mission and enhances our ability to discover and develop meaningful therapies.</w:t>
      </w:r>
    </w:p>
    <w:p>
      <w:pPr>
        <w:ind w:right="160"/>
        <w:spacing w:after="0" w:line="247" w:lineRule="auto"/>
        <w:rPr>
          <w:sz w:val="20"/>
          <w:szCs w:val="20"/>
          <w:color w:val="auto"/>
        </w:rPr>
      </w:pPr>
      <w:r>
        <w:rPr>
          <w:rFonts w:ascii="Times New Roman" w:cs="Times New Roman" w:eastAsia="Times New Roman" w:hAnsi="Times New Roman"/>
          <w:sz w:val="19"/>
          <w:szCs w:val="19"/>
          <w:color w:val="231F20"/>
        </w:rPr>
        <w:t>Through collaboration with patient communities and advocacy organizations, including participation in community- focused conferences and events, we aim to incorporate community voices and perspectives into every aspect of our work. Insights from the community inform the design and execution of our clinical trials, shape our corporate culture, and drive activities and initiatives that are intended to make a positive impact on people’s lives. Employee volunteering is another important component of our community engagement initiatives. By participating in a broad range of volunteer activities, our employees donate time and resources to support individuals and families in our community and beyond.</w:t>
      </w:r>
    </w:p>
    <w:p>
      <w:pPr>
        <w:spacing w:after="0" w:line="7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As an innovative organization focused on ongoing improvement, we will continue to evolve and strengthen our strategies relating to talent while furthering our investment in our employees, culture, community partnerships and outreach, and other measures to engage and align our talent with our purpose</w:t>
      </w:r>
      <w:r>
        <w:rPr>
          <w:rFonts w:ascii="Times New Roman" w:cs="Times New Roman" w:eastAsia="Times New Roman" w:hAnsi="Times New Roman"/>
          <w:sz w:val="19"/>
          <w:szCs w:val="19"/>
          <w:color w:val="353334"/>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Corporate Information</w:t>
      </w:r>
    </w:p>
    <w:p>
      <w:pPr>
        <w:spacing w:after="0" w:line="12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9"/>
          <w:szCs w:val="19"/>
          <w:color w:val="231F20"/>
        </w:rPr>
        <w:t>We were incorporated under the name Wave Life Sciences Pte. Ltd. (Registration No.: 201218209G) under the laws of Singapore on July 23, 2012. On November 16, 2015, we closed our initial public offering. In preparation for our initial public offering, on November 5, 2015, Wave Life Sciences Pte. Ltd. converted from a private limited company to a public limited company known as Wave Life Sciences Ltd. (“Wave”). Wave has four wholly-owned subsidiaries: Wave Life Sciences USA, Inc. (“Wave USA”), a Delaware corporation (formerly Ontorii, Inc.); Wave Life Sciences Japan, Inc. (“Wave Japan”), a company organized under the laws of Japan (formerly Chiralgen., Ltd.); Wave Life Sciences Ireland Limited (“Wave Ireland”), a company organized under the laws of Ireland; and Wave Life Sciences UK Limited (“Wave UK”), a company organized under the laws of the United Kingdom.</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Our registered office is located at 7 Straits View #12-00, Marina One East Tower, Singapore 018936, and our telephone number at that address is +65 6236 3388. Our principal office for Wave USA is located at 733 Concord Avenue, Cambridge, MA 02138, and our telephone number at that address is +1- 617-949-2900. Our registered office for Wave Japan is 2438 Miyanoura-cho, Kagoshima-shi, Kagoshima pref. 891-1394, Japan. Our registered office for Wave Ireland is One Spencer Dock, North Wall Quay, Dublin 1, D01 X9R7, Ireland. Our registered office for Wave UK is 1 Chamberlain Square CS, Birmingham B3 3AX, United Kingdom.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Information Available on the Internet</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231F20"/>
        </w:rPr>
        <w:t>Our Internet website address is http://www.wavelifesciences.com. The information contained on, or that can be accessed through, our website is not a part of, or incorporated by reference in, this Annual Report on Form 10 -K or our other filings with the SEC. We have included our website address in this Annual Report on Form 10-K solely as an inactive textual reference. We make available free of charge through our website our Annual Report on Form 10 -K, Quarterly Reports on Form 10-Q, Current Reports on Form 8-K and amendments to those reports filed or furnished pursuant to Sections 13(a) and 15(d) of the Exchange Act. We make these reports available through the “Investors – SEC Filings” section of our website as soon as reasonably practicable after we electronically file such reports with, or furnish such reports to, the SEC. We also make available, free of charge on our website, the reports filed with the SEC by our executive officers, directors and 10% shareholders pursuant to Section 16 under the Exchange Act as soon as reasonably practicable after copies of those filings are filed with the SEC. You can review our electronically filed reports and other information that we file with the SEC on the SEC’s website at http://www.sec.gov.</w:t>
      </w:r>
    </w:p>
    <w:p>
      <w:pPr>
        <w:spacing w:after="0" w:line="7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9"/>
          <w:szCs w:val="19"/>
          <w:color w:val="231F20"/>
        </w:rPr>
        <w:t>In addition, we regularly use our website to post information regarding our business and governance, and we encourage investors to use our website, particularly the information in the section entitled “Investors,” as a source of information about us.</w:t>
      </w:r>
    </w:p>
    <w:p>
      <w:pPr>
        <w:sectPr>
          <w:pgSz w:w="11880" w:h="15480" w:orient="portrait"/>
          <w:cols w:equalWidth="0" w:num="1">
            <w:col w:w="10440"/>
          </w:cols>
          <w:pgMar w:left="700" w:top="963" w:right="740" w:bottom="534" w:gutter="0" w:footer="0" w:header="0"/>
        </w:sectPr>
      </w:pPr>
    </w:p>
    <w:bookmarkStart w:id="43" w:name="page44"/>
    <w:bookmarkEnd w:id="43"/>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1A.</w:t>
        <w:tab/>
        <w:t>Risk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 Factors</w:t>
      </w:r>
    </w:p>
    <w:p>
      <w:pPr>
        <w:spacing w:after="0" w:line="1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i w:val="1"/>
          <w:iCs w:val="1"/>
          <w:color w:val="231F20"/>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 K occurs, our business, operating results and financial condition could be seriously harmed and the trading price of our ordinary shares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Risks Related to Our Financial Results and Capital Requirements</w:t>
      </w:r>
    </w:p>
    <w:p>
      <w:pPr>
        <w:spacing w:after="0" w:line="24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are a clinical-stage biotechnology company with a history of losses, and we expect to continue to incur losses for the foreseeable future, and we may never achieve or maintain profitability.</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We are a clinical-stage biotechnology company and have incurred significant operating losses since our incorporation in 2012. Our net loss was $204.4 million, $97.0 million, and $57.5 million for the fiscal years ended December 31, 2025, 2024, and 2023, respectively. As of December 31, 2025, and 2024 we had an accumulated deficit of $1,326.2 million and $1,121.9 million, respectively. To date, we have not generated any product revenue. Substantially all of our losses have resulted from expenses incurred in connection with our research and development programs and from general and administrative costs associated with our operations.</w:t>
      </w:r>
    </w:p>
    <w:p>
      <w:pPr>
        <w:spacing w:after="0" w:line="71" w:lineRule="exact"/>
        <w:rPr>
          <w:sz w:val="20"/>
          <w:szCs w:val="20"/>
          <w:color w:val="auto"/>
        </w:rPr>
      </w:pPr>
    </w:p>
    <w:p>
      <w:pPr>
        <w:ind w:right="20" w:firstLine="1"/>
        <w:spacing w:after="0" w:line="247" w:lineRule="auto"/>
        <w:rPr>
          <w:sz w:val="20"/>
          <w:szCs w:val="20"/>
          <w:color w:val="auto"/>
        </w:rPr>
      </w:pPr>
      <w:r>
        <w:rPr>
          <w:rFonts w:ascii="Times New Roman" w:cs="Times New Roman" w:eastAsia="Times New Roman" w:hAnsi="Times New Roman"/>
          <w:sz w:val="19"/>
          <w:szCs w:val="19"/>
          <w:color w:val="231F20"/>
        </w:rPr>
        <w:t>We are a clinical-stage biotechnology company focused on unlocking the broad potential of ribonucleic acid (“RNA”) medicines (also known as oligonucleotides), or those targeting RNA, to transform human health. Our RNA medicines platform, PRISM®, combines multiple modalities, chemistry innovation and deep insights into human genetics to deliver scientific breakthroughs that treat both rare and common disorders. Our toolkit of RNA-targeting modalities, including RNAi silencing (SpiNA) and RNA editing (AIMers), provides us with unmatched capabilities for designing and sustainably delivering candidates that optimally address disease biology. Our pipeline is focused on our obesity, alpha-1 antitrypsin deficiency (“AATD”) and PNPLA3 I148M liver disease programs, and also includes clinical programs for Duchenne muscular dystrophy (“DMD”) and Huntington’s disease (“HD”), as well as several preclinical programs utilizing our versatile RNA medicines platform. We have not generated, and do not expect to generate, any product revenue for the foreseeable future, and we expect to continue to incur significant operating losses for the foreseeable future due to the cost of research and development, manufacturing, preclinical studies and clinical trials and the regulatory review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shareholders to lose all or part of their investment.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will require substantial additional funding, which may not be available on acceptable terms, or at all.</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9"/>
          <w:szCs w:val="19"/>
          <w:color w:val="231F20"/>
        </w:rPr>
        <w:t>We have used substantial funds to develop our programs and PRISM, our proprietary discovery and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We believe that our existing cash and cash equivalents will be sufficient to fund our operations for at least the next 12 months.</w:t>
      </w:r>
    </w:p>
    <w:p>
      <w:pPr>
        <w:spacing w:after="0" w:line="7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9"/>
          <w:szCs w:val="19"/>
          <w:color w:val="231F20"/>
        </w:rPr>
        <w:t>Our future capital requirements and the period for which we expect our existing resources to support our operations may vary significantly from what we expect. We do not expect to realize any appreciable revenue from product sales or royalties in the foreseeable future, if at all. Our revenue sources will remain extremely limited unless and until our product candidates complete clinical development and are approved for commercialization and successfully marketed.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Our future capital requirements will depend on many factors, including, but not limited to, the following:</w:t>
      </w:r>
    </w:p>
    <w:p>
      <w:pPr>
        <w:spacing w:after="0" w:line="135" w:lineRule="exact"/>
        <w:rPr>
          <w:sz w:val="20"/>
          <w:szCs w:val="20"/>
          <w:color w:val="auto"/>
        </w:rPr>
      </w:pPr>
    </w:p>
    <w:p>
      <w:pPr>
        <w:ind w:left="700" w:hanging="352"/>
        <w:spacing w:after="0"/>
        <w:tabs>
          <w:tab w:leader="none" w:pos="700" w:val="left"/>
        </w:tabs>
        <w:numPr>
          <w:ilvl w:val="0"/>
          <w:numId w:val="20"/>
        </w:numPr>
        <w:rPr>
          <w:rFonts w:ascii="Arial" w:cs="Arial" w:eastAsia="Arial" w:hAnsi="Arial"/>
          <w:sz w:val="19"/>
          <w:szCs w:val="19"/>
          <w:color w:val="231F20"/>
        </w:rPr>
      </w:pPr>
      <w:r>
        <w:rPr>
          <w:rFonts w:ascii="Times New Roman" w:cs="Times New Roman" w:eastAsia="Times New Roman" w:hAnsi="Times New Roman"/>
          <w:sz w:val="19"/>
          <w:szCs w:val="19"/>
          <w:color w:val="231F20"/>
        </w:rPr>
        <w:t>our monthly spending levels, based on new and ongoing development and corporate activities;</w:t>
      </w:r>
    </w:p>
    <w:p>
      <w:pPr>
        <w:spacing w:after="0" w:line="134" w:lineRule="exact"/>
        <w:rPr>
          <w:rFonts w:ascii="Arial" w:cs="Arial" w:eastAsia="Arial" w:hAnsi="Arial"/>
          <w:sz w:val="19"/>
          <w:szCs w:val="19"/>
          <w:color w:val="231F20"/>
        </w:rPr>
      </w:pPr>
    </w:p>
    <w:p>
      <w:pPr>
        <w:ind w:left="700" w:hanging="352"/>
        <w:spacing w:after="0"/>
        <w:tabs>
          <w:tab w:leader="none" w:pos="700" w:val="left"/>
        </w:tabs>
        <w:numPr>
          <w:ilvl w:val="0"/>
          <w:numId w:val="20"/>
        </w:numPr>
        <w:rPr>
          <w:rFonts w:ascii="Arial" w:cs="Arial" w:eastAsia="Arial" w:hAnsi="Arial"/>
          <w:sz w:val="19"/>
          <w:szCs w:val="19"/>
          <w:color w:val="231F20"/>
        </w:rPr>
      </w:pPr>
      <w:r>
        <w:rPr>
          <w:rFonts w:ascii="Times New Roman" w:cs="Times New Roman" w:eastAsia="Times New Roman" w:hAnsi="Times New Roman"/>
          <w:sz w:val="19"/>
          <w:szCs w:val="19"/>
          <w:color w:val="231F20"/>
        </w:rPr>
        <w:t>the scope, progress, results and costs of drug discovery, preclinical and clinical development for our product candidates;</w:t>
      </w:r>
    </w:p>
    <w:p>
      <w:pPr>
        <w:sectPr>
          <w:pgSz w:w="11880" w:h="15480" w:orient="portrait"/>
          <w:cols w:equalWidth="0" w:num="1">
            <w:col w:w="10480"/>
          </w:cols>
          <w:pgMar w:left="700" w:top="961" w:right="700" w:bottom="803" w:gutter="0" w:footer="0" w:header="0"/>
        </w:sectPr>
      </w:pPr>
    </w:p>
    <w:bookmarkStart w:id="44" w:name="page45"/>
    <w:bookmarkEnd w:id="44"/>
    <w:p>
      <w:pPr>
        <w:ind w:left="700" w:right="260" w:hanging="351"/>
        <w:spacing w:after="0" w:line="285" w:lineRule="auto"/>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our ability to establish and maintain collaboration arrangements, and whether our collaboration partners decide to exercise option rights in connection with targets and development programs;</w:t>
      </w:r>
    </w:p>
    <w:p>
      <w:pPr>
        <w:spacing w:after="0" w:line="55" w:lineRule="exact"/>
        <w:rPr>
          <w:rFonts w:ascii="Arial" w:cs="Arial" w:eastAsia="Arial" w:hAnsi="Arial"/>
          <w:sz w:val="19"/>
          <w:szCs w:val="19"/>
          <w:color w:val="231F20"/>
        </w:rPr>
      </w:pPr>
    </w:p>
    <w:p>
      <w:pPr>
        <w:ind w:left="700" w:hanging="351"/>
        <w:spacing w:after="0"/>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timing and outcome of regulatory review of our product candidates;</w:t>
      </w:r>
    </w:p>
    <w:p>
      <w:pPr>
        <w:spacing w:after="0" w:line="134" w:lineRule="exact"/>
        <w:rPr>
          <w:rFonts w:ascii="Arial" w:cs="Arial" w:eastAsia="Arial" w:hAnsi="Arial"/>
          <w:sz w:val="19"/>
          <w:szCs w:val="19"/>
          <w:color w:val="231F20"/>
        </w:rPr>
      </w:pPr>
    </w:p>
    <w:p>
      <w:pPr>
        <w:ind w:left="700" w:hanging="351"/>
        <w:spacing w:after="0"/>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our ability to obtain marketing approval for our product candidates;</w:t>
      </w:r>
    </w:p>
    <w:p>
      <w:pPr>
        <w:spacing w:after="0" w:line="134" w:lineRule="exact"/>
        <w:rPr>
          <w:rFonts w:ascii="Arial" w:cs="Arial" w:eastAsia="Arial" w:hAnsi="Arial"/>
          <w:sz w:val="19"/>
          <w:szCs w:val="19"/>
          <w:color w:val="231F20"/>
        </w:rPr>
      </w:pPr>
    </w:p>
    <w:p>
      <w:pPr>
        <w:ind w:left="700" w:right="660" w:hanging="351"/>
        <w:spacing w:after="0" w:line="288" w:lineRule="auto"/>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the impacts of any local or global health epidemics, geopolitical conflicts, global economic uncertainty, tariffs, rising inflation, rising interest rates or market disruptions on our business;</w:t>
      </w:r>
    </w:p>
    <w:p>
      <w:pPr>
        <w:spacing w:after="0" w:line="51" w:lineRule="exact"/>
        <w:rPr>
          <w:rFonts w:ascii="Arial" w:cs="Arial" w:eastAsia="Arial" w:hAnsi="Arial"/>
          <w:sz w:val="19"/>
          <w:szCs w:val="19"/>
          <w:color w:val="231F20"/>
        </w:rPr>
      </w:pPr>
    </w:p>
    <w:p>
      <w:pPr>
        <w:ind w:left="700" w:right="560" w:hanging="351"/>
        <w:spacing w:after="0" w:line="285" w:lineRule="auto"/>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the achievement of milestones and other development targets that trigger payments under our agreements with our key collaboration partners, or any other strategic collaborations into which we may enter;</w:t>
      </w:r>
    </w:p>
    <w:p>
      <w:pPr>
        <w:spacing w:after="0" w:line="55" w:lineRule="exact"/>
        <w:rPr>
          <w:rFonts w:ascii="Arial" w:cs="Arial" w:eastAsia="Arial" w:hAnsi="Arial"/>
          <w:sz w:val="19"/>
          <w:szCs w:val="19"/>
          <w:color w:val="231F20"/>
        </w:rPr>
      </w:pPr>
    </w:p>
    <w:p>
      <w:pPr>
        <w:ind w:left="700" w:right="280" w:hanging="351"/>
        <w:spacing w:after="0" w:line="288" w:lineRule="auto"/>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and timing of future commercialization activities, including manufacturing, marketing, sales and distribution, for any of our product candidates for which we receive marketing approval;</w:t>
      </w:r>
    </w:p>
    <w:p>
      <w:pPr>
        <w:spacing w:after="0" w:line="51" w:lineRule="exact"/>
        <w:rPr>
          <w:rFonts w:ascii="Arial" w:cs="Arial" w:eastAsia="Arial" w:hAnsi="Arial"/>
          <w:sz w:val="19"/>
          <w:szCs w:val="19"/>
          <w:color w:val="231F20"/>
        </w:rPr>
      </w:pPr>
    </w:p>
    <w:p>
      <w:pPr>
        <w:ind w:left="700" w:right="340" w:hanging="351"/>
        <w:spacing w:after="0" w:line="288" w:lineRule="auto"/>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market acceptance of our product candidates, to the extent any are approved for commercial sale, and the revenue, if any, received from commercial sales of our product candidates for which we receive marketing approval;</w:t>
      </w:r>
    </w:p>
    <w:p>
      <w:pPr>
        <w:spacing w:after="0" w:line="49" w:lineRule="exact"/>
        <w:rPr>
          <w:rFonts w:ascii="Arial" w:cs="Arial" w:eastAsia="Arial" w:hAnsi="Arial"/>
          <w:sz w:val="19"/>
          <w:szCs w:val="19"/>
          <w:color w:val="231F20"/>
        </w:rPr>
      </w:pPr>
    </w:p>
    <w:p>
      <w:pPr>
        <w:ind w:left="700" w:right="520" w:hanging="351"/>
        <w:spacing w:after="0" w:line="288" w:lineRule="auto"/>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and timing of preparing, filing and prosecuting patent applications, maintaining and enforcing our intellectual property rights and defending any intellectual property-related claims;</w:t>
      </w:r>
    </w:p>
    <w:p>
      <w:pPr>
        <w:spacing w:after="0" w:line="51" w:lineRule="exact"/>
        <w:rPr>
          <w:rFonts w:ascii="Arial" w:cs="Arial" w:eastAsia="Arial" w:hAnsi="Arial"/>
          <w:sz w:val="19"/>
          <w:szCs w:val="19"/>
          <w:color w:val="231F20"/>
        </w:rPr>
      </w:pPr>
    </w:p>
    <w:p>
      <w:pPr>
        <w:ind w:left="700" w:hanging="352"/>
        <w:spacing w:after="0"/>
        <w:tabs>
          <w:tab w:leader="none" w:pos="7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of securing manufacturing arrangements internally or with third parties for drug supply.</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231F20"/>
        </w:rPr>
        <w:t>To date, we have primarily financed our operations through sales of our securities and our collaborations with third parties. Through December 31, 2025, we have received an aggregate of approximately $2,076.7 million in net proceeds from these transactions, consisting of $1,450.5 million in net proceeds from public and other registered offerings of our ordinary shares, $536.9 million from our collaborations, exclusive of any potential future milestone and royalty payments, and $89.3 million in net proceeds from private placements of our debt and equity securities.</w:t>
      </w:r>
    </w:p>
    <w:p>
      <w:pPr>
        <w:spacing w:after="0" w:line="7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231F20"/>
        </w:rPr>
        <w:t>On November 12, 2024, we filed an automatic shelf registration statement on Form S-3ASR with the SEC for which we registered for sale an indeterminate amount of any combination of our ordinary shares, debt securities, warrants, rights and/or units from time to time and at prices and on terms that we may determine, which we refer to as the “2024 WKSI Shelf”. Our 2024 WKSI Shelf includes a prospectus covering up to an aggregate of $250.0 million in ordinary shares that we are able to issue and sell from time to time, through Jefferies LLC (“Jefferies”) acting as our sales agent, pursuant to the Open Market Sale Agreement, dated May 10, 2019, as amended by Amendment No. 1, dated as of March 2, 2020, Amendment No. 2, dated as of March 3, 2022, and Amendment No. 3, dated as of November 12, 2024 (collectively, the “Sales Agreement”), for our “at-the-market” equity program.</w:t>
      </w:r>
    </w:p>
    <w:p>
      <w:pPr>
        <w:spacing w:after="0" w:line="7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231F20"/>
        </w:rPr>
        <w:t>Our ability to raise additional funds will depend on financial, economic and other factors, many of which are beyond our control. We may seek access to the capital and credit markets for working capital, capital expenditure, and other business initiatives. The capital and credit markets have experienced extreme volatility and disruption, which may lead to uncertainty and liquidity issues for both borrowers and investors. In the event of adverse market conditions, or other factors, additional funds may not be available to us on acceptable terms or at all. For example, the global economy has been experiencing volatility in interest rates and inflation, which could negatively impact our business and our ability to raise additional funds. If we raise additional funds by issuing equity or convertible debt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 any distribution of corporate assets.</w:t>
      </w:r>
    </w:p>
    <w:p>
      <w:pPr>
        <w:spacing w:after="0" w:line="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231F20"/>
        </w:rPr>
        <w:t>If we are unable to obtain funding on a timely basis or on acceptable terms, we may have to delay, limit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Our business may be impacted by macroeconomic conditions, including fears concerning the financial services industry, inflation, volatility in interest rates and volatile market conditions, and other uncertainties beyond our control.</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Our ability to effectively run our business could be adversely affected by general conditions in the global economy and in the financial services industry. Various macroeconomic factors could adversely affect our business, including fears concerning the banking sector, rising inflation, and interest rates and overall changes in economic conditions and uncertainties. A severe or prolonged economic downturn could result in a variety of risks, including our ability to raise additional funding on a timely basis or on</w:t>
      </w:r>
    </w:p>
    <w:p>
      <w:pPr>
        <w:sectPr>
          <w:pgSz w:w="11880" w:h="15480" w:orient="portrait"/>
          <w:cols w:equalWidth="0" w:num="1">
            <w:col w:w="10460"/>
          </w:cols>
          <w:pgMar w:left="700" w:top="977" w:right="720" w:bottom="542" w:gutter="0" w:footer="0" w:header="0"/>
        </w:sectPr>
      </w:pPr>
    </w:p>
    <w:bookmarkStart w:id="45" w:name="page46"/>
    <w:bookmarkEnd w:id="45"/>
    <w:p>
      <w:pPr>
        <w:ind w:right="140"/>
        <w:spacing w:after="0" w:line="252" w:lineRule="auto"/>
        <w:rPr>
          <w:sz w:val="20"/>
          <w:szCs w:val="20"/>
          <w:color w:val="auto"/>
        </w:rPr>
      </w:pPr>
      <w:r>
        <w:rPr>
          <w:rFonts w:ascii="Times New Roman" w:cs="Times New Roman" w:eastAsia="Times New Roman" w:hAnsi="Times New Roman"/>
          <w:sz w:val="19"/>
          <w:szCs w:val="19"/>
          <w:color w:val="231F20"/>
        </w:rPr>
        <w:t>acceptable terms. A weak or declining economy could also impact third parties upon whom we depend to run our business.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200" w:lineRule="exact"/>
        <w:rPr>
          <w:sz w:val="20"/>
          <w:szCs w:val="20"/>
          <w:color w:val="auto"/>
        </w:rPr>
      </w:pPr>
    </w:p>
    <w:p>
      <w:pPr>
        <w:spacing w:after="0" w:line="21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Our management has broad discretion over the use of proceeds received from sales of our securities and our collaborations with third parties and the proceeds may not be used effectively.</w:t>
      </w:r>
    </w:p>
    <w:p>
      <w:pPr>
        <w:spacing w:after="0" w:line="4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9"/>
          <w:szCs w:val="19"/>
          <w:color w:val="231F20"/>
        </w:rPr>
        <w:t>Our management has broad discretion as to the use of proceeds we receive from conducting sales of our securities and our collaborations with third parties and could use the proceeds for purposes other than those contemplated at the time of such transactions. It is also possible that the proceeds we have received, or may receive, from securities sales and collaborations will be invested in a way that does not yield a favorable, or any, return for us.</w:t>
      </w:r>
    </w:p>
    <w:p>
      <w:pPr>
        <w:spacing w:after="0" w:line="1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Our operating history as a clinical-stage biotechnology company may make it difficult for shareholders to evaluate the success of our business to date and to assess our future viability.</w:t>
      </w:r>
    </w:p>
    <w:p>
      <w:pPr>
        <w:spacing w:after="0" w:line="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We are a clinical-stage biotechnology company focused on unlocking the broad potential of RNA medicines to transform human health. Our pipeline is focused on our obesity, AATD and PNPLA3 I148M liver disease programs, and also includes clinical programs for DMD and HD, as well as several preclinical programs utilizing our versatile RNA medicines platform. We have not yet demonstrated our ability to successfully complete pivotal clinical trials, obtain marketing approvals, or conduct sales and marketing activities necessary for successful product commercialization. We have limited experience manufacturing our products at commercial scale or arranging for a third party to do so on our behalf. Typically, it takes many years to develop and commercialize a therapeutic from the time it is discovered to when it is available for treating patients. Further, drug development is a capital-intensive and highly speculative undertaking that involves a substantial degree of risk. You should consider our prospects in light of the costs, uncertainties, delays and difficulties frequently encountered by biotechnology companies in the early stages of clinical development, such as ours. Any predictions about our future success or viability may not be as accurate as they could be if we had a longer operating history or a history of successfully developing and commercializing pharmaceutical products.</w:t>
      </w:r>
    </w:p>
    <w:p>
      <w:pPr>
        <w:spacing w:after="0" w:line="192" w:lineRule="exact"/>
        <w:rPr>
          <w:sz w:val="20"/>
          <w:szCs w:val="20"/>
          <w:color w:val="auto"/>
        </w:rPr>
      </w:pPr>
    </w:p>
    <w:p>
      <w:pPr>
        <w:ind w:right="840"/>
        <w:spacing w:after="0" w:line="438" w:lineRule="auto"/>
        <w:rPr>
          <w:sz w:val="20"/>
          <w:szCs w:val="20"/>
          <w:color w:val="auto"/>
        </w:rPr>
      </w:pPr>
      <w:r>
        <w:rPr>
          <w:rFonts w:ascii="Times New Roman" w:cs="Times New Roman" w:eastAsia="Times New Roman" w:hAnsi="Times New Roman"/>
          <w:sz w:val="19"/>
          <w:szCs w:val="19"/>
          <w:b w:val="1"/>
          <w:bCs w:val="1"/>
          <w:color w:val="231F20"/>
        </w:rPr>
        <w:t xml:space="preserve">Risks Related to the Discovery, Manufacturing, Development and Commercialization of Our Product Candidates </w:t>
      </w:r>
      <w:r>
        <w:rPr>
          <w:rFonts w:ascii="Times New Roman" w:cs="Times New Roman" w:eastAsia="Times New Roman" w:hAnsi="Times New Roman"/>
          <w:sz w:val="19"/>
          <w:szCs w:val="19"/>
          <w:b w:val="1"/>
          <w:bCs w:val="1"/>
          <w:i w:val="1"/>
          <w:iCs w:val="1"/>
          <w:color w:val="231F20"/>
        </w:rPr>
        <w:t>The approach we are taking to discover and develop RNA medicines is novel and may never lead to marketable products.</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231F20"/>
        </w:rPr>
        <w:t>We have concentrated our efforts and research and development activities on RNA medicines (also known as oligonucleotides) and enhancing PRISM, our proprietary discovery and drug development platform. PRISM enables us to target genetically defined diseases with stereopure oligonucleotides across multiple therapeutic modalities. Our future success depends on the successful development of our RNA medicines and the effectiveness of PRISM. The scientific discoveries that form the basis for our efforts to discover and develop new product candidates, including our discoveries about the relationships between oligonucleotide stereochemistry and pharmacology, are relatively new. Our PRISM platform combines multiple modalities, chemistry innovation and deep insights into human genetics to deliver scientific breakthroughs that treat both rare and prevalent disorders. The scientific evidence to support the feasibility of developing medicines based on our discoveries is limited, as we have not yet completed successful clinical development of an oligonucleotide therapeutic.</w:t>
      </w:r>
    </w:p>
    <w:p>
      <w:pPr>
        <w:spacing w:after="0" w:line="1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Because we are developing oligonucleotides, which are considered a relatively new class of drugs, there is increased risk that the outcome of our clinical trials will not be sufficient to obtain regulatory approval.</w:t>
      </w:r>
    </w:p>
    <w:p>
      <w:pPr>
        <w:spacing w:after="0" w:line="4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231F20"/>
        </w:rPr>
        <w:t>The FDA and comparable ex-U.S. regulatory agencies have relatively limited experience with RNA medicines (also known as oligonucleotides), which may increase the complexity, uncertainty and length of the regulatory review process for our product candidates. The FDA has approved approximately 20 oligonucleotides for commercial use. The FDA has issued multiple guidance documents on the development and testing of oligonucleotide products, as well as guidance relating to regulatory submissions for such products, including in December 2021 two draft guidance documents relating to IND submissions for individualized antisense oligonucleotide drugs for severely debilitating or life-threatening genetic diseases, one with clinical focus, the other with chemistry manufacturing and controls focus, in June 2024 a final guidance on clinical pharmacology considerations for the development of oligonucleotide therapeutics, and in November 2024 a draft guidance on nonclinical safety assessment of oligonucleotide products. Although guidance documents issued by FDA do not have the force of law and are therefore not binding on the industry, we may decide to revise the design of our ongoing or planned nonclinical studies or clinical trials, or design new nonclinical studies or clinical trials, of our product candidates to align with the agency’s current thinking as set forth in the recently published guidance. The general lack of extensive experience specific to oligonucleotides may hinder or slow review by the FDA or other foreign homologues of any regulatory filings that we may submit. Moreover, the FDA or other foreign homologues may respond to these submissions by defining requirements we may not have anticipated. Addressing such requirements could lead to significant delays in the development of our</w:t>
      </w:r>
    </w:p>
    <w:p>
      <w:pPr>
        <w:sectPr>
          <w:pgSz w:w="11880" w:h="15480" w:orient="portrait"/>
          <w:cols w:equalWidth="0" w:num="1">
            <w:col w:w="10480"/>
          </w:cols>
          <w:pgMar w:left="700" w:top="963" w:right="700" w:bottom="460" w:gutter="0" w:footer="0" w:header="0"/>
        </w:sectPr>
      </w:pPr>
    </w:p>
    <w:bookmarkStart w:id="46" w:name="page47"/>
    <w:bookmarkEnd w:id="46"/>
    <w:p>
      <w:pPr>
        <w:ind w:right="140"/>
        <w:spacing w:after="0" w:line="255" w:lineRule="auto"/>
        <w:rPr>
          <w:sz w:val="20"/>
          <w:szCs w:val="20"/>
          <w:color w:val="auto"/>
        </w:rPr>
      </w:pPr>
      <w:r>
        <w:rPr>
          <w:rFonts w:ascii="Times New Roman" w:cs="Times New Roman" w:eastAsia="Times New Roman" w:hAnsi="Times New Roman"/>
          <w:sz w:val="19"/>
          <w:szCs w:val="19"/>
          <w:color w:val="231F20"/>
        </w:rPr>
        <w:t>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product candidate.</w:t>
      </w:r>
    </w:p>
    <w:p>
      <w:pPr>
        <w:spacing w:after="0" w:line="7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231F20"/>
        </w:rPr>
        <w:t>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ordinary shares could decline.</w:t>
      </w:r>
    </w:p>
    <w:p>
      <w:pPr>
        <w:spacing w:after="0" w:line="189"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9"/>
          <w:szCs w:val="19"/>
          <w:b w:val="1"/>
          <w:bCs w:val="1"/>
          <w:i w:val="1"/>
          <w:iCs w:val="1"/>
          <w:color w:val="231F20"/>
        </w:rPr>
        <w:t>Our preclinical studies and clinical trials may not be successful. If we are unable to commercialize our product candidates or experience significant delays in doing so, our business may be materially harmed.</w:t>
      </w:r>
    </w:p>
    <w:p>
      <w:pPr>
        <w:spacing w:after="0" w:line="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231F20"/>
        </w:rPr>
        <w:t>We have a robust and diverse pipeline of first- or best-in-class RNA medicines. Our pipeline is focused on our obesity, AATD and PNPLA3 I148M liver disease programs, and also includes clinical programs for DMD and HD, as well as several preclinical programs utilizing our versatile RNA medicines platform.</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However, we currently have no products on the market. We have invested a significant portion of our efforts and financial resources in the identification and preclinical and clinical development of our oligonucleotides, the development of our RNA medicines platform, PRISM, including our toolkit of RNA-targeting modalities, and our novel chemistry modifications, and the continued growth of our manufacturing capabilities. Our ability to generate product revenue, which we do not expect will occur for many years, if ever, will depend heavily on the successful development, regulatory approvals, and eventual commercialization of our product candidates. Our success will depend on several factors, including the following:</w:t>
      </w:r>
    </w:p>
    <w:p>
      <w:pPr>
        <w:spacing w:after="0" w:line="87" w:lineRule="exact"/>
        <w:rPr>
          <w:sz w:val="20"/>
          <w:szCs w:val="20"/>
          <w:color w:val="auto"/>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successfully completing preclinical studies and clinical trials;</w:t>
      </w:r>
    </w:p>
    <w:p>
      <w:pPr>
        <w:spacing w:after="0" w:line="134"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successfully conducting process development and manufacturing campaigns in accordance with cGMP;</w:t>
      </w:r>
    </w:p>
    <w:p>
      <w:pPr>
        <w:spacing w:after="0" w:line="134" w:lineRule="exact"/>
        <w:rPr>
          <w:rFonts w:ascii="Arial" w:cs="Arial" w:eastAsia="Arial" w:hAnsi="Arial"/>
          <w:sz w:val="19"/>
          <w:szCs w:val="19"/>
          <w:color w:val="231F20"/>
        </w:rPr>
      </w:pPr>
    </w:p>
    <w:p>
      <w:pPr>
        <w:ind w:left="860" w:right="260" w:hanging="344"/>
        <w:spacing w:after="0" w:line="285" w:lineRule="auto"/>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receiving regulatory approvals from applicable regulatory authorities to market our product candidates and, to the extent necessary, our companion diagnostic tests;</w:t>
      </w:r>
    </w:p>
    <w:p>
      <w:pPr>
        <w:spacing w:after="0" w:line="55"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establishing commercial manufacturing capabilities or making arrangements with third party CMOs;</w:t>
      </w:r>
    </w:p>
    <w:p>
      <w:pPr>
        <w:spacing w:after="0" w:line="134"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obtaining and maintaining patent and trade secret protection and regulatory exclusivity for our product candidates;</w:t>
      </w:r>
    </w:p>
    <w:p>
      <w:pPr>
        <w:spacing w:after="0" w:line="134"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the degree to which we are successful in our current collaborations, and any additional collaborations we may establish;</w:t>
      </w:r>
    </w:p>
    <w:p>
      <w:pPr>
        <w:spacing w:after="0" w:line="134"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launching commercial sales of the products, if and when approved, whether alone or in collaboration with others;</w:t>
      </w:r>
    </w:p>
    <w:p>
      <w:pPr>
        <w:spacing w:after="0" w:line="132"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acceptance of the products, if and when approved, by patients, the medical community and third-party payors;</w:t>
      </w:r>
    </w:p>
    <w:p>
      <w:pPr>
        <w:spacing w:after="0" w:line="134"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effectively competing with other therapies;</w:t>
      </w:r>
    </w:p>
    <w:p>
      <w:pPr>
        <w:spacing w:after="0" w:line="134"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continuing to maintain an acceptable safety and efficacy profile of the products following regulatory approval; and</w:t>
      </w:r>
    </w:p>
    <w:p>
      <w:pPr>
        <w:spacing w:after="0" w:line="134" w:lineRule="exact"/>
        <w:rPr>
          <w:rFonts w:ascii="Arial" w:cs="Arial" w:eastAsia="Arial" w:hAnsi="Arial"/>
          <w:sz w:val="19"/>
          <w:szCs w:val="19"/>
          <w:color w:val="231F20"/>
        </w:rPr>
      </w:pPr>
    </w:p>
    <w:p>
      <w:pPr>
        <w:ind w:left="860" w:hanging="344"/>
        <w:spacing w:after="0"/>
        <w:tabs>
          <w:tab w:leader="none" w:pos="8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appropriately addressing the post-marketing requirements and/or commitments made upon regulatory approval.</w:t>
      </w:r>
    </w:p>
    <w:p>
      <w:pPr>
        <w:spacing w:after="0" w:line="12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9"/>
          <w:szCs w:val="19"/>
          <w:color w:val="231F20"/>
        </w:rPr>
        <w:t>If we do not achieve one or more of these factors in a timely manner or at all, we could experience significant delays or an inability to successfully commercialize our product candidates, which would materially harm our business.</w:t>
      </w:r>
    </w:p>
    <w:p>
      <w:pPr>
        <w:spacing w:after="0" w:line="15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may not be able to conduct clinical trials successfully due to various process-related factors that could negatively impact our business plans.</w:t>
      </w:r>
    </w:p>
    <w:p>
      <w:pPr>
        <w:spacing w:after="0" w:line="41" w:lineRule="exact"/>
        <w:rPr>
          <w:sz w:val="20"/>
          <w:szCs w:val="20"/>
          <w:color w:val="auto"/>
        </w:rPr>
      </w:pPr>
    </w:p>
    <w:p>
      <w:pPr>
        <w:ind w:right="800"/>
        <w:spacing w:after="0" w:line="289" w:lineRule="auto"/>
        <w:rPr>
          <w:sz w:val="20"/>
          <w:szCs w:val="20"/>
          <w:color w:val="auto"/>
        </w:rPr>
      </w:pPr>
      <w:r>
        <w:rPr>
          <w:rFonts w:ascii="Times New Roman" w:cs="Times New Roman" w:eastAsia="Times New Roman" w:hAnsi="Times New Roman"/>
          <w:sz w:val="19"/>
          <w:szCs w:val="19"/>
          <w:color w:val="231F20"/>
        </w:rPr>
        <w:t>The successful initiation and completion of any of our clinical trials, within timeframes consistent with our business plans, is dependent on various factors, which include, but are not limited to, our ability to:</w:t>
      </w:r>
    </w:p>
    <w:p>
      <w:pPr>
        <w:spacing w:after="0" w:line="51" w:lineRule="exact"/>
        <w:rPr>
          <w:sz w:val="20"/>
          <w:szCs w:val="20"/>
          <w:color w:val="auto"/>
        </w:rPr>
      </w:pPr>
    </w:p>
    <w:p>
      <w:pPr>
        <w:ind w:left="700" w:hanging="352"/>
        <w:spacing w:after="0"/>
        <w:tabs>
          <w:tab w:leader="none" w:pos="700" w:val="left"/>
        </w:tabs>
        <w:numPr>
          <w:ilvl w:val="0"/>
          <w:numId w:val="23"/>
        </w:numPr>
        <w:rPr>
          <w:rFonts w:ascii="Arial" w:cs="Arial" w:eastAsia="Arial" w:hAnsi="Arial"/>
          <w:sz w:val="19"/>
          <w:szCs w:val="19"/>
          <w:color w:val="231F20"/>
        </w:rPr>
      </w:pPr>
      <w:r>
        <w:rPr>
          <w:rFonts w:ascii="Times New Roman" w:cs="Times New Roman" w:eastAsia="Times New Roman" w:hAnsi="Times New Roman"/>
          <w:sz w:val="19"/>
          <w:szCs w:val="19"/>
          <w:color w:val="231F20"/>
        </w:rPr>
        <w:t>retain and recruit employees, contractors or consultants with the required level of knowledge and experience;</w:t>
      </w:r>
    </w:p>
    <w:p>
      <w:pPr>
        <w:spacing w:after="0" w:line="132" w:lineRule="exact"/>
        <w:rPr>
          <w:rFonts w:ascii="Arial" w:cs="Arial" w:eastAsia="Arial" w:hAnsi="Arial"/>
          <w:sz w:val="19"/>
          <w:szCs w:val="19"/>
          <w:color w:val="231F20"/>
        </w:rPr>
      </w:pPr>
    </w:p>
    <w:p>
      <w:pPr>
        <w:ind w:left="700" w:right="180" w:hanging="352"/>
        <w:spacing w:after="0" w:line="256" w:lineRule="auto"/>
        <w:tabs>
          <w:tab w:leader="none" w:pos="700" w:val="left"/>
        </w:tabs>
        <w:numPr>
          <w:ilvl w:val="0"/>
          <w:numId w:val="23"/>
        </w:numPr>
        <w:rPr>
          <w:rFonts w:ascii="Arial" w:cs="Arial" w:eastAsia="Arial" w:hAnsi="Arial"/>
          <w:sz w:val="19"/>
          <w:szCs w:val="19"/>
          <w:color w:val="231F20"/>
        </w:rPr>
      </w:pPr>
      <w:r>
        <w:rPr>
          <w:rFonts w:ascii="Times New Roman" w:cs="Times New Roman" w:eastAsia="Times New Roman" w:hAnsi="Times New Roman"/>
          <w:sz w:val="19"/>
          <w:szCs w:val="19"/>
          <w:color w:val="231F20"/>
        </w:rPr>
        <w:t>retain and recruit in a timely manner a sufficient number of patients necessary to conduct a clinical trial, which is a function of many factors, including the proximity of participants to clinical sites, the size of the relevant population, the eligibility criteria for the trial, possible adverse effects from treatments, the existence of competing clinical trials, the involvement of patient advocacy groups, the availability of new or alternative treatments, lack of efficacy, personnel issues and ease of participation in our clinical trials;</w:t>
      </w:r>
    </w:p>
    <w:p>
      <w:pPr>
        <w:spacing w:after="0" w:line="81" w:lineRule="exact"/>
        <w:rPr>
          <w:rFonts w:ascii="Arial" w:cs="Arial" w:eastAsia="Arial" w:hAnsi="Arial"/>
          <w:sz w:val="19"/>
          <w:szCs w:val="19"/>
          <w:color w:val="231F20"/>
        </w:rPr>
      </w:pPr>
    </w:p>
    <w:p>
      <w:pPr>
        <w:ind w:left="700" w:right="320" w:hanging="352"/>
        <w:spacing w:after="0" w:line="285" w:lineRule="auto"/>
        <w:tabs>
          <w:tab w:leader="none" w:pos="700" w:val="left"/>
        </w:tabs>
        <w:numPr>
          <w:ilvl w:val="0"/>
          <w:numId w:val="23"/>
        </w:numPr>
        <w:rPr>
          <w:rFonts w:ascii="Arial" w:cs="Arial" w:eastAsia="Arial" w:hAnsi="Arial"/>
          <w:sz w:val="19"/>
          <w:szCs w:val="19"/>
          <w:color w:val="231F20"/>
        </w:rPr>
      </w:pPr>
      <w:r>
        <w:rPr>
          <w:rFonts w:ascii="Times New Roman" w:cs="Times New Roman" w:eastAsia="Times New Roman" w:hAnsi="Times New Roman"/>
          <w:sz w:val="19"/>
          <w:szCs w:val="19"/>
          <w:color w:val="231F20"/>
        </w:rPr>
        <w:t>open study sites, and enroll, treat, and monitor patients due to local restrictions implemented in response to local or global health issues;</w:t>
      </w:r>
    </w:p>
    <w:p>
      <w:pPr>
        <w:sectPr>
          <w:pgSz w:w="11880" w:h="15480" w:orient="portrait"/>
          <w:cols w:equalWidth="0" w:num="1">
            <w:col w:w="10480"/>
          </w:cols>
          <w:pgMar w:left="700" w:top="963" w:right="700" w:bottom="520" w:gutter="0" w:footer="0" w:header="0"/>
        </w:sectPr>
      </w:pPr>
    </w:p>
    <w:bookmarkStart w:id="47" w:name="page48"/>
    <w:bookmarkEnd w:id="47"/>
    <w:p>
      <w:pPr>
        <w:ind w:left="700" w:hanging="351"/>
        <w:spacing w:after="0"/>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develop companion diagnostic tests for use with certain of our product candidates or identify partners with such expertise;</w:t>
      </w:r>
    </w:p>
    <w:p>
      <w:pPr>
        <w:spacing w:after="0" w:line="132" w:lineRule="exact"/>
        <w:rPr>
          <w:rFonts w:ascii="Arial" w:cs="Arial" w:eastAsia="Arial" w:hAnsi="Arial"/>
          <w:sz w:val="19"/>
          <w:szCs w:val="19"/>
          <w:color w:val="231F20"/>
        </w:rPr>
      </w:pPr>
    </w:p>
    <w:p>
      <w:pPr>
        <w:ind w:left="700" w:hanging="351"/>
        <w:spacing w:after="0"/>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manufacture and maintain a sufficient amount of clinical material, internally or through third parties;</w:t>
      </w:r>
    </w:p>
    <w:p>
      <w:pPr>
        <w:spacing w:after="0" w:line="134" w:lineRule="exact"/>
        <w:rPr>
          <w:rFonts w:ascii="Arial" w:cs="Arial" w:eastAsia="Arial" w:hAnsi="Arial"/>
          <w:sz w:val="19"/>
          <w:szCs w:val="19"/>
          <w:color w:val="231F20"/>
        </w:rPr>
      </w:pPr>
    </w:p>
    <w:p>
      <w:pPr>
        <w:ind w:left="700" w:right="40" w:hanging="351"/>
        <w:spacing w:after="0" w:line="288" w:lineRule="auto"/>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ensure adherence to trial designs and protocols agreed upon and approved by regulatory authorities and applicable regulatory and legal guidelines;</w:t>
      </w:r>
    </w:p>
    <w:p>
      <w:pPr>
        <w:spacing w:after="0" w:line="51" w:lineRule="exact"/>
        <w:rPr>
          <w:rFonts w:ascii="Arial" w:cs="Arial" w:eastAsia="Arial" w:hAnsi="Arial"/>
          <w:sz w:val="19"/>
          <w:szCs w:val="19"/>
          <w:color w:val="231F20"/>
        </w:rPr>
      </w:pPr>
    </w:p>
    <w:p>
      <w:pPr>
        <w:ind w:left="700" w:hanging="351"/>
        <w:spacing w:after="0"/>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apply the appropriate pharmacovigilance measures in case of adverse effects emerging during a clinical trial;</w:t>
      </w:r>
    </w:p>
    <w:p>
      <w:pPr>
        <w:spacing w:after="0" w:line="134" w:lineRule="exact"/>
        <w:rPr>
          <w:rFonts w:ascii="Arial" w:cs="Arial" w:eastAsia="Arial" w:hAnsi="Arial"/>
          <w:sz w:val="19"/>
          <w:szCs w:val="19"/>
          <w:color w:val="231F20"/>
        </w:rPr>
      </w:pPr>
    </w:p>
    <w:p>
      <w:pPr>
        <w:ind w:left="700" w:hanging="351"/>
        <w:spacing w:after="0"/>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execute clinical trial designs and protocols approved by regulatory authorities without deficiencies;</w:t>
      </w:r>
    </w:p>
    <w:p>
      <w:pPr>
        <w:spacing w:after="0" w:line="132" w:lineRule="exact"/>
        <w:rPr>
          <w:rFonts w:ascii="Arial" w:cs="Arial" w:eastAsia="Arial" w:hAnsi="Arial"/>
          <w:sz w:val="19"/>
          <w:szCs w:val="19"/>
          <w:color w:val="231F20"/>
        </w:rPr>
      </w:pPr>
    </w:p>
    <w:p>
      <w:pPr>
        <w:ind w:left="700" w:right="40" w:hanging="351"/>
        <w:spacing w:after="0" w:line="288" w:lineRule="auto"/>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timely and effectively contract with (under reasonable terms), manage and work with investigators, institutions, hospitals and contract research organizations (“CROs”) involved in the clinical trial;</w:t>
      </w:r>
    </w:p>
    <w:p>
      <w:pPr>
        <w:spacing w:after="0" w:line="51" w:lineRule="exact"/>
        <w:rPr>
          <w:rFonts w:ascii="Arial" w:cs="Arial" w:eastAsia="Arial" w:hAnsi="Arial"/>
          <w:sz w:val="19"/>
          <w:szCs w:val="19"/>
          <w:color w:val="231F20"/>
        </w:rPr>
      </w:pPr>
    </w:p>
    <w:p>
      <w:pPr>
        <w:ind w:left="700" w:right="280" w:hanging="351"/>
        <w:spacing w:after="0" w:line="266" w:lineRule="auto"/>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w:t>
      </w:r>
    </w:p>
    <w:p>
      <w:pPr>
        <w:spacing w:after="0" w:line="73" w:lineRule="exact"/>
        <w:rPr>
          <w:rFonts w:ascii="Arial" w:cs="Arial" w:eastAsia="Arial" w:hAnsi="Arial"/>
          <w:sz w:val="19"/>
          <w:szCs w:val="19"/>
          <w:color w:val="231F20"/>
        </w:rPr>
      </w:pPr>
    </w:p>
    <w:p>
      <w:pPr>
        <w:ind w:left="700" w:right="160" w:hanging="351"/>
        <w:spacing w:after="0" w:line="265" w:lineRule="auto"/>
        <w:tabs>
          <w:tab w:leader="none" w:pos="7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6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9"/>
          <w:szCs w:val="19"/>
          <w:color w:val="231F20"/>
        </w:rPr>
        <w:t>If we are not able to manage the clinical trial process successfully, our business plans could be delayed or be rendered unfeasible for us to execute within our planned or required time frames, or at all.</w:t>
      </w:r>
    </w:p>
    <w:p>
      <w:pPr>
        <w:spacing w:after="0" w:line="15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9"/>
          <w:szCs w:val="19"/>
          <w:b w:val="1"/>
          <w:bCs w:val="1"/>
          <w:i w:val="1"/>
          <w:iCs w:val="1"/>
          <w:color w:val="231F20"/>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5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231F20"/>
        </w:rPr>
        <w:t>In order to develop our product candidates, apply for regulatory approvals and commercialize our product candidates, we will need to develop, contract for, or otherwise arrange for the necessary manufacturing capabilities. In September 2016, we entered into a lease for a multi- use facility of approximately 90,000 square feet in Lexington, Massachusetts to provide internal cGMP manufacturing capabilities and increase control and visibility of our drug substance supply chain, and we began cGMP manufacturing in this facility at the beginning of 2018. This facility supplements our existing Cambridge, Massachusetts laboratory and office space headquarters, enhances our ability to secure drug substance for current and future development activities and may provide commercial-scale manufacturing capabilities. However, while we have established and continue to enhance our internal cGMP manufacturing capabilities, we have limited experience manufacturing drug substance on a commercial scale, and we will incur significant costs to develop this expertise internally.</w:t>
      </w:r>
    </w:p>
    <w:p>
      <w:pPr>
        <w:spacing w:after="0" w:line="7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our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us.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and supply chain disruptions could impact our business. Additionally,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19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The process of manufacturing oligonucleotides is complex and we may encounter difficulties in production, particularly with respect to process development or scaling-up of our manufacturing capabilities.</w:t>
      </w:r>
    </w:p>
    <w:p>
      <w:pPr>
        <w:spacing w:after="0" w:line="4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The process of manufacturing oligonucleotides is complex, highly -regulated and subject to multiple risks. The complex processes associated with the manufacture of our product candidates expose us to various manufacturing challenges and risks, which may include delays in manufacturing adequate supply of our product candidates, limits on our ability to increase manufacturing capacity, and the potential for product failure and product variation in quality that may interfere with preclinical studies and clinical trials, along with additional costs. We also may make changes to our manufacturing process at various points during development, and even after commercialization, for various reasons, such as optimizing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current or future clinical trials, or</w:t>
      </w:r>
    </w:p>
    <w:p>
      <w:pPr>
        <w:sectPr>
          <w:pgSz w:w="11880" w:h="15480" w:orient="portrait"/>
          <w:cols w:equalWidth="0" w:num="1">
            <w:col w:w="10460"/>
          </w:cols>
          <w:pgMar w:left="700" w:top="977" w:right="720" w:bottom="450" w:gutter="0" w:footer="0" w:header="0"/>
        </w:sectPr>
      </w:pPr>
    </w:p>
    <w:bookmarkStart w:id="48" w:name="page49"/>
    <w:bookmarkEnd w:id="48"/>
    <w:p>
      <w:pPr>
        <w:spacing w:after="0" w:line="249" w:lineRule="auto"/>
        <w:rPr>
          <w:sz w:val="20"/>
          <w:szCs w:val="20"/>
          <w:color w:val="auto"/>
        </w:rPr>
      </w:pPr>
      <w:r>
        <w:rPr>
          <w:rFonts w:ascii="Times New Roman" w:cs="Times New Roman" w:eastAsia="Times New Roman" w:hAnsi="Times New Roman"/>
          <w:sz w:val="19"/>
          <w:szCs w:val="19"/>
          <w:color w:val="231F20"/>
        </w:rPr>
        <w:t xml:space="preserve">the performance of the product, once commercialized. In some circumstances, changes in the manufacturing process may require us to perform </w:t>
      </w:r>
      <w:r>
        <w:rPr>
          <w:rFonts w:ascii="Times New Roman" w:cs="Times New Roman" w:eastAsia="Times New Roman" w:hAnsi="Times New Roman"/>
          <w:sz w:val="19"/>
          <w:szCs w:val="19"/>
          <w:i w:val="1"/>
          <w:iCs w:val="1"/>
          <w:color w:val="231F20"/>
        </w:rPr>
        <w:t>ex vivo</w:t>
      </w:r>
      <w:r>
        <w:rPr>
          <w:rFonts w:ascii="Times New Roman" w:cs="Times New Roman" w:eastAsia="Times New Roman" w:hAnsi="Times New Roman"/>
          <w:sz w:val="19"/>
          <w:szCs w:val="19"/>
          <w:color w:val="231F20"/>
        </w:rPr>
        <w:t xml:space="preserve"> comparability studies, and/or conduct animal studies, and to collect additional data from patients prior to undertaking more advanced clinical trials. For instance, changes in our process during the course of clinical development may require us to provide the FDA and comparable regulatory authorities adequate evidence of the comparability of the product used in earlier clinical trials or at earlier portions of a trial to the product used in later clinical trials or later portions of the trial. We may also make further changes to our manufacturing process before or after commercialization, and such changes may require us to show the comparability of the resulting product to the product produced via earlier manufacturing processes and supplied in clinical studies. We may be required to collect additional preclinical and/or clinical data from any modified process prior to obtaining marketing approval for the product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product candidate.</w:t>
      </w:r>
    </w:p>
    <w:p>
      <w:pPr>
        <w:spacing w:after="0" w:line="7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We are a clinical- stage biotechnology company focused on unlocking the broad potential of RNA medicines (also known as oligonucleotides) to transform human health. Although we continue to build on our experience in manufacturing oligonucleotides, we have limited experience as a company manufacturing product candidates for commercial supply. We may never be successful in manufacturing product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7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Furthermore, compliance with cGMP requirements and other quality issues may arise during our internal efforts to scale-up manufacturing, and with our current or any future CMOs. If contaminants are discovered in our supply of our product candidates or in our manufacturing facilities or those of our CMOs, such manufacturing facilities may need to be closed for an extended period of time to investigate and remedy the contamination. We cannot assure you that any stability failures or other issues relating to the manufacture of our product candidates will not occur in the future. Additionally, we and our CMOs may experience manufacturing difficulties due to resource constraints or as a result of labor disputes or unstable political environments. If we or our CMOs were to encounter any of these difficulties, our ability to provide our product candidate to patients in clinical trials, or to provide product for treatment of patients once approved, would be jeopardized.</w:t>
      </w:r>
    </w:p>
    <w:p>
      <w:pPr>
        <w:spacing w:after="0" w:line="1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may expend our limited resources to pursue a particular product candidate or indication and fail to capitalize on product candidates or indications that may be more profitable or for which there is a greater likelihood of success.</w:t>
      </w:r>
    </w:p>
    <w:p>
      <w:pPr>
        <w:spacing w:after="0" w:line="4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9"/>
          <w:szCs w:val="19"/>
          <w:color w:val="231F20"/>
        </w:rPr>
        <w:t>Because we have limited financial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Any product candidates we develop may fail in preclinical or clinical development or be delayed to a point where they do not become commercially viable.</w:t>
      </w:r>
    </w:p>
    <w:p>
      <w:pPr>
        <w:spacing w:after="0" w:line="4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231F20"/>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is uncertain as to outcome, and the historical failure rate for drugs in preclinical and clinical development is high. For example, we depend on the availability of non-human primates to conduct certain preclinical studies. Over the past several years there has been a global shortage of non-human primates available for drug development that has matured into an acute global supply chain issue. The supply of these non -human primates has been constrained due to factors such as their limited worldwide availability, domestic regulatory restrictions and trade relations. If we are unable to obtain access to a sufficient supply of these non-human primates in a timely manner or at all, our timelines and our ability to complete preclinical testing and submit IND/CTA or equivalent foreign applications may be adversely affected.</w:t>
      </w:r>
    </w:p>
    <w:p>
      <w:pPr>
        <w:spacing w:after="0" w:line="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We, the FDA or comparable foreign regulatory authorities or an IRB, or similar foreign review board or ethics committee, may suspend clinical trials of a product candidate at any time for various reasons, including if we or they believe the healthy volunteer subjects or patients participating in such trials are being exposed to unacceptable health risks. Among other reasons, unacceptable side effects or other more serious adverse events of a product candidate in healthy volunteer subjects or patients in a clinical trial could</w:t>
      </w:r>
    </w:p>
    <w:p>
      <w:pPr>
        <w:sectPr>
          <w:pgSz w:w="11880" w:h="15480" w:orient="portrait"/>
          <w:cols w:equalWidth="0" w:num="1">
            <w:col w:w="10460"/>
          </w:cols>
          <w:pgMar w:left="700" w:top="963" w:right="720" w:bottom="805" w:gutter="0" w:footer="0" w:header="0"/>
        </w:sectPr>
      </w:pPr>
    </w:p>
    <w:bookmarkStart w:id="49" w:name="page50"/>
    <w:bookmarkEnd w:id="49"/>
    <w:p>
      <w:pPr>
        <w:ind w:right="80"/>
        <w:spacing w:after="0" w:line="286" w:lineRule="auto"/>
        <w:rPr>
          <w:sz w:val="20"/>
          <w:szCs w:val="20"/>
          <w:color w:val="auto"/>
        </w:rPr>
      </w:pPr>
      <w:r>
        <w:rPr>
          <w:rFonts w:ascii="Times New Roman" w:cs="Times New Roman" w:eastAsia="Times New Roman" w:hAnsi="Times New Roman"/>
          <w:sz w:val="19"/>
          <w:szCs w:val="19"/>
          <w:color w:val="231F20"/>
        </w:rPr>
        <w:t>result in the FDA or comparable foreign regulatory authorities suspending or terminating the trial and refusing to approve a particular product candidate for any or all indications of use.</w:t>
      </w:r>
    </w:p>
    <w:p>
      <w:pPr>
        <w:spacing w:after="0" w:line="4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Clinical trials also require the review, oversight and approval of IRBs or ethics committees, which review the clinical protocols and informed consent form for investigations that will be conducted at their institutions in order to protect the rights and welfare of human subjects. Inability to obtain or delay in obtaining IRB approval can prevent or delay the initiation and completion of clinical trials at particular sites. Furthermore, failure to provide information to the IRB and relevant regulatory authorities, as required throughout the study, such as emergent safety reports and annual updates, may result in suspension of the approval of the trial. Our product candidates may encounter problems during clinical trials that will cause us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any of our other product candidates. We may also lose, or be unable to enter into, collaborative arrangements for the affected product candidate and for other product candidates we are developing. 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88" w:lineRule="exact"/>
        <w:rPr>
          <w:sz w:val="20"/>
          <w:szCs w:val="20"/>
          <w:color w:val="auto"/>
        </w:rPr>
      </w:pPr>
    </w:p>
    <w:p>
      <w:pPr>
        <w:ind w:left="400" w:hanging="358"/>
        <w:spacing w:after="0" w:line="266"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our preclinical studies or clinical trials may produce negative or inconclusive results, including results that may not meet the level of significance or clinical benefit required by the FDA or other regulators, and we may decide, or regulators may require us, to conduct additional preclinical studies or clinical trials, or we may abandon projects that we had expected to be promising;</w:t>
      </w:r>
    </w:p>
    <w:p>
      <w:pPr>
        <w:spacing w:after="0" w:line="73" w:lineRule="exact"/>
        <w:rPr>
          <w:rFonts w:ascii="Arial" w:cs="Arial" w:eastAsia="Arial" w:hAnsi="Arial"/>
          <w:sz w:val="19"/>
          <w:szCs w:val="19"/>
          <w:color w:val="231F20"/>
        </w:rPr>
      </w:pPr>
    </w:p>
    <w:p>
      <w:pPr>
        <w:ind w:left="400" w:right="140" w:hanging="358"/>
        <w:spacing w:after="0" w:line="265"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delays in filing INDs/CTAs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73" w:lineRule="exact"/>
        <w:rPr>
          <w:rFonts w:ascii="Arial" w:cs="Arial" w:eastAsia="Arial" w:hAnsi="Arial"/>
          <w:sz w:val="19"/>
          <w:szCs w:val="19"/>
          <w:color w:val="231F20"/>
        </w:rPr>
      </w:pPr>
    </w:p>
    <w:p>
      <w:pPr>
        <w:ind w:left="400" w:hanging="358"/>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conditions imposed on us by the FDA or comparable foreign authorities regarding the scope or design of our clinical trials;</w:t>
      </w:r>
    </w:p>
    <w:p>
      <w:pPr>
        <w:spacing w:after="0" w:line="134" w:lineRule="exact"/>
        <w:rPr>
          <w:rFonts w:ascii="Arial" w:cs="Arial" w:eastAsia="Arial" w:hAnsi="Arial"/>
          <w:sz w:val="19"/>
          <w:szCs w:val="19"/>
          <w:color w:val="231F20"/>
        </w:rPr>
      </w:pPr>
    </w:p>
    <w:p>
      <w:pPr>
        <w:ind w:left="400" w:right="120" w:hanging="358"/>
        <w:spacing w:after="0" w:line="288"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divergent views between FDA and other homologue regulatory authorities as to the objectives and/or design of the clinical trials required in support of marketing registration;</w:t>
      </w:r>
    </w:p>
    <w:p>
      <w:pPr>
        <w:spacing w:after="0" w:line="51" w:lineRule="exact"/>
        <w:rPr>
          <w:rFonts w:ascii="Arial" w:cs="Arial" w:eastAsia="Arial" w:hAnsi="Arial"/>
          <w:sz w:val="19"/>
          <w:szCs w:val="19"/>
          <w:color w:val="231F20"/>
        </w:rPr>
      </w:pPr>
    </w:p>
    <w:p>
      <w:pPr>
        <w:ind w:left="400" w:hanging="358"/>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problems in obtaining or maintaining IRB approval of trials;</w:t>
      </w:r>
    </w:p>
    <w:p>
      <w:pPr>
        <w:spacing w:after="0" w:line="132" w:lineRule="exact"/>
        <w:rPr>
          <w:rFonts w:ascii="Arial" w:cs="Arial" w:eastAsia="Arial" w:hAnsi="Arial"/>
          <w:sz w:val="19"/>
          <w:szCs w:val="19"/>
          <w:color w:val="231F20"/>
        </w:rPr>
      </w:pPr>
    </w:p>
    <w:p>
      <w:pPr>
        <w:ind w:left="400" w:right="600" w:hanging="358"/>
        <w:spacing w:after="0" w:line="288"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delays in enrolling patients or volunteers into clinical trials, and variability in the number and types of patients eligible for clinical trials;</w:t>
      </w:r>
    </w:p>
    <w:p>
      <w:pPr>
        <w:spacing w:after="0" w:line="51" w:lineRule="exact"/>
        <w:rPr>
          <w:rFonts w:ascii="Arial" w:cs="Arial" w:eastAsia="Arial" w:hAnsi="Arial"/>
          <w:sz w:val="19"/>
          <w:szCs w:val="19"/>
          <w:color w:val="231F20"/>
        </w:rPr>
      </w:pPr>
    </w:p>
    <w:p>
      <w:pPr>
        <w:ind w:left="400" w:right="380" w:hanging="358"/>
        <w:spacing w:after="0" w:line="288"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delays in developing and receiving regulatory approval for companion diagnostic tests, to the extent such tests are needed, to identify patients for our clinical trials;</w:t>
      </w:r>
    </w:p>
    <w:p>
      <w:pPr>
        <w:spacing w:after="0" w:line="51" w:lineRule="exact"/>
        <w:rPr>
          <w:rFonts w:ascii="Arial" w:cs="Arial" w:eastAsia="Arial" w:hAnsi="Arial"/>
          <w:sz w:val="19"/>
          <w:szCs w:val="19"/>
          <w:color w:val="231F20"/>
        </w:rPr>
      </w:pPr>
    </w:p>
    <w:p>
      <w:pPr>
        <w:ind w:left="400" w:hanging="358"/>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high drop-out rates for patients in clinical trials and substantial missing data;</w:t>
      </w:r>
    </w:p>
    <w:p>
      <w:pPr>
        <w:spacing w:after="0" w:line="132" w:lineRule="exact"/>
        <w:rPr>
          <w:rFonts w:ascii="Arial" w:cs="Arial" w:eastAsia="Arial" w:hAnsi="Arial"/>
          <w:sz w:val="19"/>
          <w:szCs w:val="19"/>
          <w:color w:val="231F20"/>
        </w:rPr>
      </w:pPr>
    </w:p>
    <w:p>
      <w:pPr>
        <w:ind w:left="400" w:right="120" w:hanging="358"/>
        <w:spacing w:after="0" w:line="288"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an inability to open study sites, or enroll, treat, and monitor patients due to local restrictions implemented in response to local or global health epidemics;</w:t>
      </w:r>
    </w:p>
    <w:p>
      <w:pPr>
        <w:spacing w:after="0" w:line="51" w:lineRule="exact"/>
        <w:rPr>
          <w:rFonts w:ascii="Arial" w:cs="Arial" w:eastAsia="Arial" w:hAnsi="Arial"/>
          <w:sz w:val="19"/>
          <w:szCs w:val="19"/>
          <w:color w:val="231F20"/>
        </w:rPr>
      </w:pPr>
    </w:p>
    <w:p>
      <w:pPr>
        <w:ind w:left="400" w:hanging="358"/>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negative or inconclusive results from our clinical trials or the clinical trials of others for product candidates similar to ours;</w:t>
      </w:r>
    </w:p>
    <w:p>
      <w:pPr>
        <w:spacing w:after="0" w:line="134" w:lineRule="exact"/>
        <w:rPr>
          <w:rFonts w:ascii="Arial" w:cs="Arial" w:eastAsia="Arial" w:hAnsi="Arial"/>
          <w:sz w:val="19"/>
          <w:szCs w:val="19"/>
          <w:color w:val="231F20"/>
        </w:rPr>
      </w:pPr>
    </w:p>
    <w:p>
      <w:pPr>
        <w:ind w:left="400" w:hanging="359"/>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results from future clinical trials may not confirm positive results, if any, from earlier preclinical studies and clinical trials;</w:t>
      </w:r>
    </w:p>
    <w:p>
      <w:pPr>
        <w:spacing w:after="0" w:line="134" w:lineRule="exact"/>
        <w:rPr>
          <w:rFonts w:ascii="Arial" w:cs="Arial" w:eastAsia="Arial" w:hAnsi="Arial"/>
          <w:sz w:val="19"/>
          <w:szCs w:val="19"/>
          <w:color w:val="231F20"/>
        </w:rPr>
      </w:pPr>
    </w:p>
    <w:p>
      <w:pPr>
        <w:ind w:left="400" w:hanging="359"/>
        <w:spacing w:after="0" w:line="285"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inability to consistently manufacture, inadequate supply, or unacceptable quality of product candidate materials or other materials necessary for the conduct of our clinical trials;</w:t>
      </w:r>
    </w:p>
    <w:p>
      <w:pPr>
        <w:spacing w:after="0" w:line="55" w:lineRule="exact"/>
        <w:rPr>
          <w:rFonts w:ascii="Arial" w:cs="Arial" w:eastAsia="Arial" w:hAnsi="Arial"/>
          <w:sz w:val="19"/>
          <w:szCs w:val="19"/>
          <w:color w:val="231F20"/>
        </w:rPr>
      </w:pPr>
    </w:p>
    <w:p>
      <w:pPr>
        <w:ind w:left="400" w:hanging="359"/>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greater than anticipated clinical trial costs;</w:t>
      </w:r>
    </w:p>
    <w:p>
      <w:pPr>
        <w:spacing w:after="0" w:line="134" w:lineRule="exact"/>
        <w:rPr>
          <w:rFonts w:ascii="Arial" w:cs="Arial" w:eastAsia="Arial" w:hAnsi="Arial"/>
          <w:sz w:val="19"/>
          <w:szCs w:val="19"/>
          <w:color w:val="231F20"/>
        </w:rPr>
      </w:pPr>
    </w:p>
    <w:p>
      <w:pPr>
        <w:ind w:left="400" w:right="160" w:hanging="359"/>
        <w:spacing w:after="0" w:line="288"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serious and unexpected side effects that may or may not be related to the product candidate being tested that are experienced by participants in our clinical trials or by individuals using drugs similar to our product candidates;</w:t>
      </w:r>
    </w:p>
    <w:p>
      <w:pPr>
        <w:spacing w:after="0" w:line="52" w:lineRule="exact"/>
        <w:rPr>
          <w:rFonts w:ascii="Arial" w:cs="Arial" w:eastAsia="Arial" w:hAnsi="Arial"/>
          <w:sz w:val="19"/>
          <w:szCs w:val="19"/>
          <w:color w:val="231F20"/>
        </w:rPr>
      </w:pPr>
    </w:p>
    <w:p>
      <w:pPr>
        <w:ind w:left="400" w:hanging="359"/>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poor or disappointing effectiveness of our product candidates during clinical trials;</w:t>
      </w:r>
    </w:p>
    <w:p>
      <w:pPr>
        <w:spacing w:after="0" w:line="134" w:lineRule="exact"/>
        <w:rPr>
          <w:rFonts w:ascii="Arial" w:cs="Arial" w:eastAsia="Arial" w:hAnsi="Arial"/>
          <w:sz w:val="19"/>
          <w:szCs w:val="19"/>
          <w:color w:val="231F20"/>
        </w:rPr>
      </w:pPr>
    </w:p>
    <w:p>
      <w:pPr>
        <w:ind w:left="400" w:right="240" w:hanging="359"/>
        <w:spacing w:after="0" w:line="285"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unfavorable outcome of FDA or other regulatory agency inspection and review of a manufacturing or clinical trial site or other records relating to the clinical investigation;</w:t>
      </w:r>
    </w:p>
    <w:p>
      <w:pPr>
        <w:spacing w:after="0" w:line="55" w:lineRule="exact"/>
        <w:rPr>
          <w:rFonts w:ascii="Arial" w:cs="Arial" w:eastAsia="Arial" w:hAnsi="Arial"/>
          <w:sz w:val="19"/>
          <w:szCs w:val="19"/>
          <w:color w:val="231F20"/>
        </w:rPr>
      </w:pPr>
    </w:p>
    <w:p>
      <w:pPr>
        <w:ind w:left="400" w:right="20" w:hanging="359"/>
        <w:spacing w:after="0" w:line="288"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failure of our third-party contractors, investigators, or collaboration partners to comply with regulatory requirements or otherwise meet their contractual obligations in a timely manner, or at all;</w:t>
      </w:r>
    </w:p>
    <w:p>
      <w:pPr>
        <w:spacing w:after="0" w:line="51" w:lineRule="exact"/>
        <w:rPr>
          <w:rFonts w:ascii="Arial" w:cs="Arial" w:eastAsia="Arial" w:hAnsi="Arial"/>
          <w:sz w:val="19"/>
          <w:szCs w:val="19"/>
          <w:color w:val="231F20"/>
        </w:rPr>
      </w:pPr>
    </w:p>
    <w:p>
      <w:pPr>
        <w:ind w:left="400" w:right="80" w:hanging="359"/>
        <w:spacing w:after="0" w:line="265" w:lineRule="auto"/>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governmental or regulatory delays and changes in regulatory requirements, policy and guidelines, including the imposition of additional regulatory oversight around manufacturing, preclinical, or clinical testing generally or with respect to the class, of any of our product candidates, in particular; or</w:t>
      </w:r>
    </w:p>
    <w:p>
      <w:pPr>
        <w:spacing w:after="0" w:line="73" w:lineRule="exact"/>
        <w:rPr>
          <w:rFonts w:ascii="Arial" w:cs="Arial" w:eastAsia="Arial" w:hAnsi="Arial"/>
          <w:sz w:val="19"/>
          <w:szCs w:val="19"/>
          <w:color w:val="231F20"/>
        </w:rPr>
      </w:pPr>
    </w:p>
    <w:p>
      <w:pPr>
        <w:ind w:left="400" w:hanging="359"/>
        <w:spacing w:after="0"/>
        <w:tabs>
          <w:tab w:leader="none" w:pos="40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varying interpretations of data by the FDA and similar foreign regulatory agencies.</w:t>
      </w:r>
    </w:p>
    <w:p>
      <w:pPr>
        <w:sectPr>
          <w:pgSz w:w="11880" w:h="15480" w:orient="portrait"/>
          <w:cols w:equalWidth="0" w:num="1">
            <w:col w:w="10460"/>
          </w:cols>
          <w:pgMar w:left="700" w:top="963" w:right="720" w:bottom="879" w:gutter="0" w:footer="0" w:header="0"/>
        </w:sectPr>
      </w:pPr>
    </w:p>
    <w:bookmarkStart w:id="50" w:name="page51"/>
    <w:bookmarkEnd w:id="50"/>
    <w:p>
      <w:pPr>
        <w:ind w:right="80"/>
        <w:spacing w:after="0" w:line="255" w:lineRule="auto"/>
        <w:rPr>
          <w:sz w:val="20"/>
          <w:szCs w:val="20"/>
          <w:color w:val="auto"/>
        </w:rPr>
      </w:pPr>
      <w:r>
        <w:rPr>
          <w:rFonts w:ascii="Times New Roman" w:cs="Times New Roman" w:eastAsia="Times New Roman" w:hAnsi="Times New Roman"/>
          <w:sz w:val="19"/>
          <w:szCs w:val="19"/>
          <w:color w:val="231F20"/>
        </w:rPr>
        <w:t>If we do not successfully conduct clinical development, we will not be able to market and sell products derived from our product candidates and to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product candidates fails or is delayed to a point where such product candidate is no longer commercially viable, our business may be materially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Results of preclinical studies and early clinical trials may not be predictive of results of subsequent clinical trials.</w:t>
      </w:r>
    </w:p>
    <w:p>
      <w:pPr>
        <w:spacing w:after="0" w:line="1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In addition, preclinical and clinical data are often susceptible to varying interpretations and analyses. Product candidates that seemingly perform satisfactorily in preclinical studies may nonetheless fail to reach late development stages or obtain regulatory approval for marketing. For example, our preclinical studies for WVE-004 for C9orf72-associated amyotrophic lateral sclerosis and frontotemporal dementia (“C9-ALS/FTD”) yielded positive results. However, in May 2023, the topline results of the Phase 1b/2a study of WVE-004 for patients with C9-ALS/FTD showed no trends in clinical benefit and reductions in poly(GP) were not correlated with changes in functional outcome and resulted in our discontinuation of the WVE-004 program.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19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9"/>
          <w:szCs w:val="19"/>
          <w:b w:val="1"/>
          <w:bCs w:val="1"/>
          <w:i w:val="1"/>
          <w:iCs w:val="1"/>
          <w:color w:val="231F20"/>
        </w:rPr>
        <w:t>If we experience delays or difficulties in the enrollment of patients in clinical trials, our receipt of necessary regulatory approvals could be delayed or prevented.</w:t>
      </w:r>
    </w:p>
    <w:p>
      <w:pPr>
        <w:spacing w:after="0" w:line="4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231F20"/>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local or global health issues, the size of the patient population, the age and condition of the patients, the stage and severity of disease, the nature and requirements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9"/>
          <w:szCs w:val="19"/>
          <w:color w:val="231F20"/>
        </w:rPr>
        <w:t xml:space="preserve">In addition, our success may depend, in part, on our ability to identify patients who qualify for our clinical trials, or are likely to benefit from any medicines that we may develop, which will require those potential patients to undergo a screening assay, which we also refer to as a companion diagnostic test, for the presence or absence of a particular genetic sequence. For example, in HD, we are conducting a clinical trial for WVE-003, which targets a SNP associated with the mutant allele of the </w:t>
      </w:r>
      <w:r>
        <w:rPr>
          <w:rFonts w:ascii="Times New Roman" w:cs="Times New Roman" w:eastAsia="Times New Roman" w:hAnsi="Times New Roman"/>
          <w:sz w:val="19"/>
          <w:szCs w:val="19"/>
          <w:i w:val="1"/>
          <w:iCs w:val="1"/>
          <w:color w:val="231F20"/>
        </w:rPr>
        <w:t>HTT</w:t>
      </w:r>
      <w:r>
        <w:rPr>
          <w:rFonts w:ascii="Times New Roman" w:cs="Times New Roman" w:eastAsia="Times New Roman" w:hAnsi="Times New Roman"/>
          <w:sz w:val="19"/>
          <w:szCs w:val="19"/>
          <w:color w:val="231F20"/>
        </w:rPr>
        <w:t xml:space="preserve"> gene. Approximately 40% of the HD patient population carry this SNP. We have developed a novel screening assay that is intended to identify whether a patient has the particular SNP that our product candidate is targeting, and we have partnered with a third party for testing in future trials. If we, or any third parties that we engage to assist us are unable to successfully identify patients with the appropriate SNP that we are targeting, the percentage of patients with the SNP we are targeting is lower than expected, or we experience delays in testing, we may not realize the full commercial potential of any product candidates we develop.</w:t>
      </w:r>
    </w:p>
    <w:p>
      <w:pPr>
        <w:spacing w:after="0" w:line="7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Congress also amended the FDCA to require sponsors of a Phase 3 clinical trial, or other “pivotal study” of a new drug to support marketing authorization, to design and submit a diversity action plan for such clinical trial. The action plan must describe appropriate diversity goals for enrollment, as well as a rationale for the goals and a description of how the sponsor will meet them. Although none of our product candidates has reached Phase 3 of clinical development, we must submit a diversity action plan to the FDA by the time we submit a Phase 3 trial, or pivotal study, protocol to the agency for review, unless we are able to obtain a waiver for some or all of the requirements for a diversity action plan.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spacing w:after="0" w:line="1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If we are unable to successfully develop or obtain regulatory approval for companion diagnostic tests for our product candidates, or experience significant delays in doing so, our clinical trials may be delayed and our business could be materially harmed.</w:t>
      </w:r>
    </w:p>
    <w:p>
      <w:pPr>
        <w:spacing w:after="0" w:line="4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231F20"/>
        </w:rPr>
        <w:t>The development programs for some of our product candidates contemplate the development of companion diagnostic tests, which are assays or tests to identify an appropriate patient population. The success of certain of our product candidates will depend on several factors, including the successful development of, and ability to obtain regulatory approval for, companion diagnostic tests that will be used to screen and identify the right patients for our product candidates. Our goal is to develop and commercialize disease-modifying medicines for genetically defined diseases with a high degree of unmet medical need, and to become a fully integrated RNA medicines company. The target patient populations for several of our product candidates are relatively small, and it will be difficult to successfully identify the appropriate patients for whom our product candidates are being designed without performant, fit-for-purpose, accessible, relatively inexpensive, and easy-to-use companion diagnostic tests.</w:t>
      </w:r>
    </w:p>
    <w:p>
      <w:pPr>
        <w:sectPr>
          <w:pgSz w:w="11880" w:h="15480" w:orient="portrait"/>
          <w:cols w:equalWidth="0" w:num="1">
            <w:col w:w="10480"/>
          </w:cols>
          <w:pgMar w:left="700" w:top="963" w:right="700" w:bottom="579" w:gutter="0" w:footer="0" w:header="0"/>
        </w:sectPr>
      </w:pPr>
    </w:p>
    <w:bookmarkStart w:id="51" w:name="page52"/>
    <w:bookmarkEnd w:id="51"/>
    <w:p>
      <w:pPr>
        <w:spacing w:after="0" w:line="248" w:lineRule="auto"/>
        <w:rPr>
          <w:sz w:val="20"/>
          <w:szCs w:val="20"/>
          <w:color w:val="auto"/>
        </w:rPr>
      </w:pPr>
      <w:r>
        <w:rPr>
          <w:rFonts w:ascii="Times New Roman" w:cs="Times New Roman" w:eastAsia="Times New Roman" w:hAnsi="Times New Roman"/>
          <w:sz w:val="19"/>
          <w:szCs w:val="19"/>
          <w:color w:val="231F20"/>
        </w:rPr>
        <w:t xml:space="preserve">Companion diagnostic tests are subject to regulation by the FDA and similar regulatory authorities outside the United States as medical devices, often </w:t>
      </w:r>
      <w:r>
        <w:rPr>
          <w:rFonts w:ascii="Times New Roman" w:cs="Times New Roman" w:eastAsia="Times New Roman" w:hAnsi="Times New Roman"/>
          <w:sz w:val="19"/>
          <w:szCs w:val="19"/>
          <w:i w:val="1"/>
          <w:iCs w:val="1"/>
          <w:color w:val="231F20"/>
        </w:rPr>
        <w:t>in vitro</w:t>
      </w:r>
      <w:r>
        <w:rPr>
          <w:rFonts w:ascii="Times New Roman" w:cs="Times New Roman" w:eastAsia="Times New Roman" w:hAnsi="Times New Roman"/>
          <w:sz w:val="19"/>
          <w:szCs w:val="19"/>
          <w:color w:val="231F20"/>
        </w:rPr>
        <w:t xml:space="preserve"> devices, and require separate regulatory authorization prior to commercialization. We are not a medical device company, and we have limited experience developing medical devices. A more detailed description of the FDA approval process for companion diagnostic tests is included under “Business – Government Regulation – In Vitro Diagnostic Tests for Biomarkers.” Given our limited experience in developing and commercializing companion diagnostic tests, we may seek to collaborate with third parties to assist us in the design, manufacture, regulatory authorization and commercialization of the companion diagnostic tests for some of our product candidates. In November 2019, we entered into a collaboration with Asuragen for the development and commercialization of companion diagnostics for our allele-selective product candidate in HD. We, Asuragen and other potential collaborators may encounter difficulties in developing and obtaining approval for the companion diagnostic tests, including issues relating to sensitivity/specificity, analytical validation, reproducibility, or clinical validation. Any delay or failure by us or our collaborators to develop or obtain regulatory authorization of the relevant companion diagnostic tests could delay or prevent approval of our product candidates. If we, Asuragen or any other third parties that we engage to assist us, are unable to successfully develop, validate, and commercialize companion diagnostic tests for our drug candidates, or experience delays in doing so, our clinical trials and our business could be materially harmed.</w:t>
      </w:r>
    </w:p>
    <w:p>
      <w:pPr>
        <w:spacing w:after="0" w:line="200" w:lineRule="exact"/>
        <w:rPr>
          <w:sz w:val="20"/>
          <w:szCs w:val="20"/>
          <w:color w:val="auto"/>
        </w:rPr>
      </w:pPr>
    </w:p>
    <w:p>
      <w:pPr>
        <w:spacing w:after="0" w:line="22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may be unable to obtain regulatory approval in the United States or foreign jurisdictions and, as a result, be unable to commercialize our product candidates and our ability to generate revenue will be materially impaired.</w:t>
      </w:r>
    </w:p>
    <w:p>
      <w:pPr>
        <w:spacing w:after="0" w:line="4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231F20"/>
        </w:rPr>
        <w:t>Our product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product candidates we may develop will obtain the regulatory approvals necessary for us or our collaborators to begin selling them.</w:t>
      </w:r>
    </w:p>
    <w:p>
      <w:pPr>
        <w:spacing w:after="0" w:line="7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231F20"/>
        </w:rPr>
        <w:t>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7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231F20"/>
        </w:rPr>
        <w:t>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18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b w:val="1"/>
          <w:bCs w:val="1"/>
          <w:i w:val="1"/>
          <w:iCs w:val="1"/>
          <w:color w:val="231F20"/>
        </w:rPr>
        <w:t>If we are granted orphan drug designations in the United States for any of our product candidates, there can be no guarantee that we will maintain orphan status for these product candidates or receive approval for any product candidate with an orphan drug designation.</w:t>
      </w:r>
    </w:p>
    <w:p>
      <w:pPr>
        <w:spacing w:after="0" w:line="5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9"/>
          <w:szCs w:val="19"/>
          <w:color w:val="231F20"/>
        </w:rPr>
        <w:t>Subject to receiving approval from the FDA of an NDA or Biologics License Application, products granted orphan drug designation are provided with seven years of orphan marketing exclusivity in the United States, meaning the FDA generally will not approve applications for other product candidates for the same orphan indication that contain the same active ingredient.</w:t>
      </w:r>
    </w:p>
    <w:p>
      <w:pPr>
        <w:spacing w:after="0" w:line="5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231F20"/>
        </w:rPr>
        <w:t>We are not guaranteed to maintain or receive orphan designation for our current or future product candidates, and if our product candidates that were granted orphan designation were to lose their status as an orphan drug or the orphan marketing exclusivity provided to it in the United States, our business and results of operations could be materially adversely affected. While orphan status for any of our products, if granted or maintained, would provide market exclusivity in the United States for the time periods specified</w:t>
      </w:r>
    </w:p>
    <w:p>
      <w:pPr>
        <w:sectPr>
          <w:pgSz w:w="11880" w:h="15480" w:orient="portrait"/>
          <w:cols w:equalWidth="0" w:num="1">
            <w:col w:w="10480"/>
          </w:cols>
          <w:pgMar w:left="700" w:top="963" w:right="700" w:bottom="465" w:gutter="0" w:footer="0" w:header="0"/>
        </w:sectPr>
      </w:pPr>
    </w:p>
    <w:bookmarkStart w:id="52" w:name="page53"/>
    <w:bookmarkEnd w:id="52"/>
    <w:p>
      <w:pPr>
        <w:ind w:right="80"/>
        <w:spacing w:after="0" w:line="252" w:lineRule="auto"/>
        <w:rPr>
          <w:sz w:val="20"/>
          <w:szCs w:val="20"/>
          <w:color w:val="auto"/>
        </w:rPr>
      </w:pPr>
      <w:r>
        <w:rPr>
          <w:rFonts w:ascii="Times New Roman" w:cs="Times New Roman" w:eastAsia="Times New Roman" w:hAnsi="Times New Roman"/>
          <w:sz w:val="19"/>
          <w:szCs w:val="19"/>
          <w:color w:val="231F20"/>
        </w:rPr>
        <w:t>above, we would not be able to exclude other companies from manufacturing and/or selling products using the same active ingredient for the same indication beyond the exclusivity period applicable to our product on the sole basis of orphan drug status. In addition, orphan exclusivity does not block the approval of a different drug or biologic for the same rare disease or condition, nor does it block the approval of the same drug or biologic for different conditions. Even if we are the first to obtain approval of an orphan product candidate and are granted exclusivity in the United States, there are circumstances under which a later competitor product may be approved for the same indication during the period of marketing exclusivity, such as if the later product is shown to be clinically superior to our product or if we are not able to provide a sufficient quantity of the orphan drug.</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Even if we obtain regulatory approvals, our marketed drugs will be subject to ongoing regulatory oversight. If we or our collaborators or contractors fail to comply with continuing U.S. and foreign requirements, our approvals, if obtained, could be limited or withdrawn, we could be subject to other penalties, and our business would be seriously harmed.</w:t>
      </w:r>
    </w:p>
    <w:p>
      <w:pPr>
        <w:spacing w:after="0" w:line="59" w:lineRule="exact"/>
        <w:rPr>
          <w:sz w:val="20"/>
          <w:szCs w:val="20"/>
          <w:color w:val="auto"/>
        </w:rPr>
      </w:pPr>
    </w:p>
    <w:p>
      <w:pPr>
        <w:ind w:firstLine="1"/>
        <w:spacing w:after="0" w:line="249" w:lineRule="auto"/>
        <w:rPr>
          <w:sz w:val="20"/>
          <w:szCs w:val="20"/>
          <w:color w:val="auto"/>
        </w:rPr>
      </w:pPr>
      <w:r>
        <w:rPr>
          <w:rFonts w:ascii="Times New Roman" w:cs="Times New Roman" w:eastAsia="Times New Roman" w:hAnsi="Times New Roman"/>
          <w:sz w:val="19"/>
          <w:szCs w:val="19"/>
          <w:color w:val="231F20"/>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and compliance with GCP for any clinical trials that we conduct post-approval. Failure to comply with these requirements could result in warning or untitled letters, criminal or civil penalties, recalls, or product withdrawals. In addition, we are conducting our clinical trials and we intend to seek approval to market our product candidates in jurisdictions outside of the United States, and therefore will be subject to, and must comply with, regulatory requirements in those jurisdictions.</w:t>
      </w:r>
    </w:p>
    <w:p>
      <w:pPr>
        <w:spacing w:after="0" w:line="30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231F20"/>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5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We, our CMOs, and the manufacturing facilities we use to make our product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refusal to permit import or export of our products, operating restrictions, consent decrees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our material ourselves, including reliance on the CMO for regulatory compliance. Our product promotion and advertising will also be subject to regulatory requirements and continuing regulatory review.</w:t>
      </w:r>
    </w:p>
    <w:p>
      <w:pPr>
        <w:spacing w:after="0" w:line="193"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Even if we receive regulatory approval to market our product candidates, the market may not be receptive to our product candidates upon their commercial introduction, which will prevent us from becoming profitable.</w:t>
      </w:r>
    </w:p>
    <w:p>
      <w:pPr>
        <w:spacing w:after="0" w:line="4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Other factors that we believe will materially affect market acceptance of our product candidates include:</w:t>
      </w:r>
    </w:p>
    <w:p>
      <w:pPr>
        <w:spacing w:after="0" w:line="135" w:lineRule="exact"/>
        <w:rPr>
          <w:sz w:val="20"/>
          <w:szCs w:val="20"/>
          <w:color w:val="auto"/>
        </w:rPr>
      </w:pPr>
    </w:p>
    <w:p>
      <w:pPr>
        <w:ind w:left="1300" w:right="40" w:hanging="351"/>
        <w:spacing w:after="0" w:line="288" w:lineRule="auto"/>
        <w:tabs>
          <w:tab w:leader="none" w:pos="130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the timing of our receipt of any regulatory approvals, the terms of any approvals and the countries in which approvals are obtained;</w:t>
      </w:r>
    </w:p>
    <w:p>
      <w:pPr>
        <w:spacing w:after="0" w:line="51" w:lineRule="exact"/>
        <w:rPr>
          <w:rFonts w:ascii="Arial" w:cs="Arial" w:eastAsia="Arial" w:hAnsi="Arial"/>
          <w:sz w:val="19"/>
          <w:szCs w:val="19"/>
          <w:color w:val="231F20"/>
        </w:rPr>
      </w:pPr>
    </w:p>
    <w:p>
      <w:pPr>
        <w:ind w:left="1300" w:hanging="351"/>
        <w:spacing w:after="0"/>
        <w:tabs>
          <w:tab w:leader="none" w:pos="130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the ability to consistently manufacture our products within acceptable quality standards;</w:t>
      </w:r>
    </w:p>
    <w:p>
      <w:pPr>
        <w:spacing w:after="0" w:line="132" w:lineRule="exact"/>
        <w:rPr>
          <w:rFonts w:ascii="Arial" w:cs="Arial" w:eastAsia="Arial" w:hAnsi="Arial"/>
          <w:sz w:val="19"/>
          <w:szCs w:val="19"/>
          <w:color w:val="231F20"/>
        </w:rPr>
      </w:pPr>
    </w:p>
    <w:p>
      <w:pPr>
        <w:ind w:left="1300" w:right="160" w:hanging="351"/>
        <w:spacing w:after="0" w:line="288" w:lineRule="auto"/>
        <w:tabs>
          <w:tab w:leader="none" w:pos="130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the safety and efficacy of our product candidates, as demonstrated in clinical trials and as compared with alternative treatments, if any;</w:t>
      </w:r>
    </w:p>
    <w:p>
      <w:pPr>
        <w:spacing w:after="0" w:line="51" w:lineRule="exact"/>
        <w:rPr>
          <w:rFonts w:ascii="Arial" w:cs="Arial" w:eastAsia="Arial" w:hAnsi="Arial"/>
          <w:sz w:val="19"/>
          <w:szCs w:val="19"/>
          <w:color w:val="231F20"/>
        </w:rPr>
      </w:pPr>
    </w:p>
    <w:p>
      <w:pPr>
        <w:ind w:left="1300" w:hanging="351"/>
        <w:spacing w:after="0"/>
        <w:tabs>
          <w:tab w:leader="none" w:pos="130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the incidence, seriousness and severity of any side effects;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the relative convenience and ease of administration of our product candidates;</w:t>
      </w:r>
    </w:p>
    <w:p>
      <w:pPr>
        <w:sectPr>
          <w:pgSz w:w="11880" w:h="15480" w:orient="portrait"/>
          <w:cols w:equalWidth="0" w:num="1">
            <w:col w:w="10460"/>
          </w:cols>
          <w:pgMar w:left="700" w:top="963" w:right="720" w:bottom="878" w:gutter="0" w:footer="0" w:header="0"/>
        </w:sectPr>
      </w:pPr>
    </w:p>
    <w:bookmarkStart w:id="53" w:name="page54"/>
    <w:bookmarkEnd w:id="53"/>
    <w:p>
      <w:pPr>
        <w:ind w:left="1300" w:right="280" w:hanging="351"/>
        <w:spacing w:after="0" w:line="285" w:lineRule="auto"/>
        <w:tabs>
          <w:tab w:leader="none" w:pos="130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willingness of patients to accept potentially new routes of administration and their risk tolerance as it relates to potentially serious side effects;</w:t>
      </w:r>
    </w:p>
    <w:p>
      <w:pPr>
        <w:spacing w:after="0" w:line="55" w:lineRule="exact"/>
        <w:rPr>
          <w:rFonts w:ascii="Arial" w:cs="Arial" w:eastAsia="Arial" w:hAnsi="Arial"/>
          <w:sz w:val="19"/>
          <w:szCs w:val="19"/>
          <w:color w:val="231F20"/>
        </w:rPr>
      </w:pPr>
    </w:p>
    <w:p>
      <w:pPr>
        <w:ind w:left="1300" w:hanging="351"/>
        <w:spacing w:after="0"/>
        <w:tabs>
          <w:tab w:leader="none" w:pos="130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success of our physician education programs;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availability of government and third-party payer coverage and adequate reimbursement;</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pricing of our products, particularly as compared to alternative treatments; and</w:t>
      </w:r>
    </w:p>
    <w:p>
      <w:pPr>
        <w:spacing w:after="0" w:line="134" w:lineRule="exact"/>
        <w:rPr>
          <w:rFonts w:ascii="Arial" w:cs="Arial" w:eastAsia="Arial" w:hAnsi="Arial"/>
          <w:sz w:val="19"/>
          <w:szCs w:val="19"/>
          <w:color w:val="231F20"/>
        </w:rPr>
      </w:pPr>
    </w:p>
    <w:p>
      <w:pPr>
        <w:ind w:left="1300" w:right="100" w:hanging="351"/>
        <w:spacing w:after="0" w:line="288" w:lineRule="auto"/>
        <w:tabs>
          <w:tab w:leader="none" w:pos="130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availability of alternative effective treatments for the diseases that product candidates we develop are intended to treat and the relative risks, benefits and costs of those treatments.</w:t>
      </w:r>
    </w:p>
    <w:p>
      <w:pPr>
        <w:spacing w:after="0" w:line="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231F20"/>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The pharmaceutical industry is intensely competitive. If we are unable to compete effectively with existing drugs, new treatment methods and new technologies, we may be unable to commercialize successfully any drugs that we develop.</w:t>
      </w:r>
    </w:p>
    <w:p>
      <w:pPr>
        <w:spacing w:after="0" w:line="3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72" w:lineRule="exact"/>
        <w:rPr>
          <w:sz w:val="20"/>
          <w:szCs w:val="20"/>
          <w:color w:val="auto"/>
        </w:rPr>
      </w:pPr>
    </w:p>
    <w:p>
      <w:pPr>
        <w:ind w:left="1300" w:right="300" w:hanging="351"/>
        <w:spacing w:after="0" w:line="288" w:lineRule="auto"/>
        <w:tabs>
          <w:tab w:leader="none" w:pos="130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much greater financial, technical and human resources than we have at every stage of the discovery, development, manufacture and commercialization of products;</w:t>
      </w:r>
    </w:p>
    <w:p>
      <w:pPr>
        <w:spacing w:after="0" w:line="51" w:lineRule="exact"/>
        <w:rPr>
          <w:rFonts w:ascii="Arial" w:cs="Arial" w:eastAsia="Arial" w:hAnsi="Arial"/>
          <w:sz w:val="19"/>
          <w:szCs w:val="19"/>
          <w:color w:val="231F20"/>
        </w:rPr>
      </w:pPr>
    </w:p>
    <w:p>
      <w:pPr>
        <w:ind w:left="1300" w:right="340" w:hanging="351"/>
        <w:spacing w:after="0" w:line="285" w:lineRule="auto"/>
        <w:tabs>
          <w:tab w:leader="none" w:pos="130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more extensive experience in designing and conducting preclinical studies and clinical trials, obtaining regulatory approvals, and manufacturing, marketing and selling pharmaceutical products;</w:t>
      </w:r>
    </w:p>
    <w:p>
      <w:pPr>
        <w:spacing w:after="0" w:line="55" w:lineRule="exact"/>
        <w:rPr>
          <w:rFonts w:ascii="Arial" w:cs="Arial" w:eastAsia="Arial" w:hAnsi="Arial"/>
          <w:sz w:val="19"/>
          <w:szCs w:val="19"/>
          <w:color w:val="231F20"/>
        </w:rPr>
      </w:pPr>
    </w:p>
    <w:p>
      <w:pPr>
        <w:ind w:left="1300" w:hanging="351"/>
        <w:spacing w:after="0"/>
        <w:tabs>
          <w:tab w:leader="none" w:pos="130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product candidates that are based on previously tested or accepted technologies;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products that have been approved or are in late stages of development; and</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collaborative arrangements in our target markets with leading companies and research institutions.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9"/>
          <w:szCs w:val="19"/>
          <w:color w:val="231F20"/>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w:t>
      </w:r>
    </w:p>
    <w:p>
      <w:pPr>
        <w:spacing w:after="0" w:line="71"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9"/>
          <w:szCs w:val="19"/>
          <w:color w:val="231F20"/>
        </w:rPr>
        <w:t>Our competitors may develop or commercialize products with significant advantages over any products we are able to develop and commercialize based on many different factors, including:</w:t>
      </w:r>
    </w:p>
    <w:p>
      <w:pPr>
        <w:spacing w:after="0" w:line="49" w:lineRule="exact"/>
        <w:rPr>
          <w:sz w:val="20"/>
          <w:szCs w:val="20"/>
          <w:color w:val="auto"/>
        </w:rPr>
      </w:pPr>
    </w:p>
    <w:p>
      <w:pPr>
        <w:ind w:left="1300" w:hanging="351"/>
        <w:spacing w:after="0"/>
        <w:tabs>
          <w:tab w:leader="none" w:pos="130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the safety and effectiveness of our products relative to alternative therapies, if any;</w:t>
      </w:r>
    </w:p>
    <w:p>
      <w:pPr>
        <w:spacing w:after="0" w:line="134" w:lineRule="exact"/>
        <w:rPr>
          <w:rFonts w:ascii="Arial" w:cs="Arial" w:eastAsia="Arial" w:hAnsi="Arial"/>
          <w:sz w:val="19"/>
          <w:szCs w:val="19"/>
          <w:color w:val="231F20"/>
        </w:rPr>
      </w:pPr>
    </w:p>
    <w:p>
      <w:pPr>
        <w:ind w:left="1300" w:right="60" w:hanging="351"/>
        <w:spacing w:after="0" w:line="288" w:lineRule="auto"/>
        <w:tabs>
          <w:tab w:leader="none" w:pos="130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the ease with which our products can be administered and the extent to which patients accept relatively new routes of administration;</w:t>
      </w:r>
    </w:p>
    <w:p>
      <w:pPr>
        <w:spacing w:after="0" w:line="51" w:lineRule="exact"/>
        <w:rPr>
          <w:rFonts w:ascii="Arial" w:cs="Arial" w:eastAsia="Arial" w:hAnsi="Arial"/>
          <w:sz w:val="19"/>
          <w:szCs w:val="19"/>
          <w:color w:val="231F20"/>
        </w:rPr>
      </w:pPr>
    </w:p>
    <w:p>
      <w:pPr>
        <w:ind w:left="1300" w:hanging="351"/>
        <w:spacing w:after="0"/>
        <w:tabs>
          <w:tab w:leader="none" w:pos="130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the timing and scope of regulatory approvals for these products;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the availability and cost of manufacturing, marketing and sales capabilities;</w:t>
      </w:r>
    </w:p>
    <w:p>
      <w:pPr>
        <w:spacing w:after="0" w:line="132" w:lineRule="exact"/>
        <w:rPr>
          <w:rFonts w:ascii="Arial" w:cs="Arial" w:eastAsia="Arial" w:hAnsi="Arial"/>
          <w:sz w:val="19"/>
          <w:szCs w:val="19"/>
          <w:color w:val="231F20"/>
        </w:rPr>
      </w:pPr>
    </w:p>
    <w:p>
      <w:pPr>
        <w:ind w:left="1300" w:hanging="351"/>
        <w:spacing w:after="0"/>
        <w:tabs>
          <w:tab w:leader="none" w:pos="130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price;</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more extensive coverage and higher levels of reimbursement; and</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patent position.</w:t>
      </w:r>
    </w:p>
    <w:p>
      <w:pPr>
        <w:spacing w:after="0" w:line="12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9"/>
          <w:szCs w:val="19"/>
          <w:color w:val="231F20"/>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our ability to execute on our business plan.</w:t>
      </w:r>
    </w:p>
    <w:p>
      <w:pPr>
        <w:sectPr>
          <w:pgSz w:w="11880" w:h="15480" w:orient="portrait"/>
          <w:cols w:equalWidth="0" w:num="1">
            <w:col w:w="10460"/>
          </w:cols>
          <w:pgMar w:left="700" w:top="977" w:right="720" w:bottom="1440" w:gutter="0" w:footer="0" w:header="0"/>
        </w:sectPr>
      </w:pPr>
    </w:p>
    <w:bookmarkStart w:id="54" w:name="page55"/>
    <w:bookmarkEnd w:id="54"/>
    <w:p>
      <w:pPr>
        <w:ind w:right="160"/>
        <w:spacing w:after="0" w:line="265" w:lineRule="auto"/>
        <w:rPr>
          <w:sz w:val="20"/>
          <w:szCs w:val="20"/>
          <w:color w:val="auto"/>
        </w:rPr>
      </w:pPr>
      <w:r>
        <w:rPr>
          <w:rFonts w:ascii="Times New Roman" w:cs="Times New Roman" w:eastAsia="Times New Roman" w:hAnsi="Times New Roman"/>
          <w:sz w:val="19"/>
          <w:szCs w:val="19"/>
          <w:b w:val="1"/>
          <w:bCs w:val="1"/>
          <w:i w:val="1"/>
          <w:iCs w:val="1"/>
          <w:color w:val="231F20"/>
        </w:rPr>
        <w:t>If we or our collaborators, manufacturers, service providers or other third parties fail to comply with applicable healthcare laws and regulations, we or they could be subject to enforcement actions, which could affect our ability to develop, market and sell our products and may harm our reputation.</w:t>
      </w:r>
    </w:p>
    <w:p>
      <w:pPr>
        <w:spacing w:after="0" w:line="5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231F20"/>
        </w:rPr>
        <w:t>We are currently, or may in the future, be subject to federal, state, local, and comparable foreign healthcare laws and regulations relating to areas such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75" w:lineRule="exact"/>
        <w:rPr>
          <w:sz w:val="20"/>
          <w:szCs w:val="20"/>
          <w:color w:val="auto"/>
        </w:rPr>
      </w:pPr>
    </w:p>
    <w:p>
      <w:pPr>
        <w:ind w:left="1300" w:hanging="351"/>
        <w:spacing w:after="0" w:line="256" w:lineRule="auto"/>
        <w:tabs>
          <w:tab w:leader="none" w:pos="130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 service, or the purchasing, recommending, or ordering of an item or service, for which payment may be made under a federal healthcare program such as Medicare or Medicaid;</w:t>
      </w:r>
    </w:p>
    <w:p>
      <w:pPr>
        <w:spacing w:after="0" w:line="81" w:lineRule="exact"/>
        <w:rPr>
          <w:rFonts w:ascii="Arial" w:cs="Arial" w:eastAsia="Arial" w:hAnsi="Arial"/>
          <w:sz w:val="19"/>
          <w:szCs w:val="19"/>
          <w:color w:val="231F20"/>
        </w:rPr>
      </w:pPr>
    </w:p>
    <w:p>
      <w:pPr>
        <w:ind w:left="1300" w:right="80" w:hanging="351"/>
        <w:spacing w:after="0" w:line="258" w:lineRule="auto"/>
        <w:tabs>
          <w:tab w:leader="none" w:pos="130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the U.S. federal false claims and civil monetary penalties laws, including the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81" w:lineRule="exact"/>
        <w:rPr>
          <w:rFonts w:ascii="Arial" w:cs="Arial" w:eastAsia="Arial" w:hAnsi="Arial"/>
          <w:sz w:val="19"/>
          <w:szCs w:val="19"/>
          <w:color w:val="231F20"/>
        </w:rPr>
      </w:pPr>
    </w:p>
    <w:p>
      <w:pPr>
        <w:ind w:left="1300" w:right="260" w:hanging="351"/>
        <w:spacing w:after="0" w:line="288" w:lineRule="auto"/>
        <w:tabs>
          <w:tab w:leader="none" w:pos="130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HIPAA, which, among other things, criminalizes a wide array of conduct involving public and private healthcare benefits, creates new civil enforcement mechanisms and increases civil and criminal penalties for healthcare fraud;</w:t>
      </w:r>
    </w:p>
    <w:p>
      <w:pPr>
        <w:spacing w:after="0" w:line="49" w:lineRule="exact"/>
        <w:rPr>
          <w:rFonts w:ascii="Arial" w:cs="Arial" w:eastAsia="Arial" w:hAnsi="Arial"/>
          <w:sz w:val="19"/>
          <w:szCs w:val="19"/>
          <w:color w:val="231F20"/>
        </w:rPr>
      </w:pPr>
    </w:p>
    <w:p>
      <w:pPr>
        <w:ind w:left="1300" w:right="280" w:hanging="351"/>
        <w:spacing w:after="0" w:line="259" w:lineRule="auto"/>
        <w:tabs>
          <w:tab w:leader="none" w:pos="130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HIPAA, as amended by the HITECH Act, and its implementing regulations, which strengthen and expand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80" w:lineRule="exact"/>
        <w:rPr>
          <w:rFonts w:ascii="Arial" w:cs="Arial" w:eastAsia="Arial" w:hAnsi="Arial"/>
          <w:sz w:val="19"/>
          <w:szCs w:val="19"/>
          <w:color w:val="231F20"/>
        </w:rPr>
      </w:pPr>
    </w:p>
    <w:p>
      <w:pPr>
        <w:ind w:left="1300" w:right="40" w:hanging="351"/>
        <w:spacing w:after="0" w:line="252" w:lineRule="auto"/>
        <w:tabs>
          <w:tab w:leader="none" w:pos="130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CMS all transfers of value made to physicians, certain advanced non-physician healthcare practitioners, or teaching hospitals and requires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83" w:lineRule="exact"/>
        <w:rPr>
          <w:rFonts w:ascii="Arial" w:cs="Arial" w:eastAsia="Arial" w:hAnsi="Arial"/>
          <w:sz w:val="19"/>
          <w:szCs w:val="19"/>
          <w:color w:val="231F20"/>
        </w:rPr>
      </w:pPr>
    </w:p>
    <w:p>
      <w:pPr>
        <w:ind w:left="1300" w:right="80" w:hanging="351"/>
        <w:spacing w:after="0" w:line="251" w:lineRule="auto"/>
        <w:tabs>
          <w:tab w:leader="none" w:pos="130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some which differ from each other in significant ways and often are not preempted by HIPAA, thus complicating compliance efforts.</w:t>
      </w:r>
    </w:p>
    <w:p>
      <w:pPr>
        <w:spacing w:after="0" w:line="30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for DHHS, disgorgement, individual imprisonment, contractual damages, reputational harm, and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could divert our management’s attention from the operation of our business, and could harm our reputation, even if our defense is successful. In addition, achieving and sustaining compliance with applicable laws and regulations may be costly to us in terms of money, time and resources.</w:t>
      </w:r>
    </w:p>
    <w:p>
      <w:pPr>
        <w:spacing w:after="0" w:line="7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231F20"/>
        </w:rPr>
        <w:t>Furthermore, if the FDA or a comparable foreign regulatory authority approves any of our drug candidates, activities such as the manufacturing processes, labeling, packaging, distribution, adverse event reporting, storage, advertising, promotion and record keeping for the products will be subject to extensive and ongoing regulatory requirements. These requirements include submissions of safety and other post-marketing information and reports, registration, as well as continued compliance with cGMP. The FDA or a comparable foreign regulatory authority may also impose requirements for costly post- marketing nonclinical studies or clinical trials (often called “Phase 4 trials”) and post- marketing surveillance to monitor the safety or efficacy of the product. If we or a regulatory authority discover previously unknown problems with a product, such as adverse events of unanticipated severity or frequency,</w:t>
      </w:r>
    </w:p>
    <w:p>
      <w:pPr>
        <w:sectPr>
          <w:pgSz w:w="11880" w:h="15480" w:orient="portrait"/>
          <w:cols w:equalWidth="0" w:num="1">
            <w:col w:w="10480"/>
          </w:cols>
          <w:pgMar w:left="700" w:top="965" w:right="700" w:bottom="506" w:gutter="0" w:footer="0" w:header="0"/>
        </w:sectPr>
      </w:pPr>
    </w:p>
    <w:bookmarkStart w:id="55" w:name="page56"/>
    <w:bookmarkEnd w:id="55"/>
    <w:p>
      <w:pPr>
        <w:jc w:val="both"/>
        <w:ind w:right="60"/>
        <w:spacing w:after="0" w:line="259" w:lineRule="auto"/>
        <w:rPr>
          <w:sz w:val="20"/>
          <w:szCs w:val="20"/>
          <w:color w:val="auto"/>
        </w:rPr>
      </w:pPr>
      <w:r>
        <w:rPr>
          <w:rFonts w:ascii="Times New Roman" w:cs="Times New Roman" w:eastAsia="Times New Roman" w:hAnsi="Times New Roman"/>
          <w:sz w:val="19"/>
          <w:szCs w:val="19"/>
          <w:color w:val="231F20"/>
        </w:rPr>
        <w:t>production issues with the facility where the product is manufactured or processed, such as product contamination or significant non-compliance with applicable cGMP requirements, a regulator may impose restrictions on that product, the manufacturing facility or us. If we or our collaborators or third-party service providers, including our CMOs, fail to comply fully with applicable regulations, then we may be required to initiate a recall or withdrawal of our products.</w:t>
      </w:r>
    </w:p>
    <w:p>
      <w:pPr>
        <w:spacing w:after="0" w:line="6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231F20"/>
        </w:rPr>
        <w:t>If previously unknown problems with one of our products, if approved, including adverse events of unanticipated severity or frequency, or with our third-party manufacturers or manufacturing processes are discovered, or 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85" w:lineRule="exact"/>
        <w:rPr>
          <w:sz w:val="20"/>
          <w:szCs w:val="20"/>
          <w:color w:val="auto"/>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adverse regulatory inspection findings;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warning and/or untitled letters;</w:t>
      </w:r>
    </w:p>
    <w:p>
      <w:pPr>
        <w:spacing w:after="0" w:line="134" w:lineRule="exact"/>
        <w:rPr>
          <w:rFonts w:ascii="Arial" w:cs="Arial" w:eastAsia="Arial" w:hAnsi="Arial"/>
          <w:sz w:val="19"/>
          <w:szCs w:val="19"/>
          <w:color w:val="231F20"/>
        </w:rPr>
      </w:pPr>
    </w:p>
    <w:p>
      <w:pPr>
        <w:ind w:left="1300" w:right="900" w:hanging="351"/>
        <w:spacing w:after="0" w:line="285" w:lineRule="auto"/>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voluntary or mandatory product recalls or public notification or medical product safety alerts to healthcare professionals;</w:t>
      </w:r>
    </w:p>
    <w:p>
      <w:pPr>
        <w:spacing w:after="0" w:line="55"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restrictions on, or prohibitions against, marketing our products;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restrictions on, or prohibitions against, importation or exportation of our products;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restrictions on the labeling, use or distribution of our products;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suspension of review or refusal to approve pending applications or supplements to approved applications;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exclusion from participation in government-funded healthcare programs;</w:t>
      </w:r>
    </w:p>
    <w:p>
      <w:pPr>
        <w:spacing w:after="0" w:line="132"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exclusion from eligibility for the award of government contracts for our products;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suspension or withdrawal of product approvals;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product seizures;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injunctions;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consent decrees; and</w:t>
      </w:r>
    </w:p>
    <w:p>
      <w:pPr>
        <w:spacing w:after="0" w:line="132" w:lineRule="exact"/>
        <w:rPr>
          <w:rFonts w:ascii="Arial" w:cs="Arial" w:eastAsia="Arial" w:hAnsi="Arial"/>
          <w:sz w:val="19"/>
          <w:szCs w:val="19"/>
          <w:color w:val="231F20"/>
        </w:rPr>
      </w:pPr>
    </w:p>
    <w:p>
      <w:pPr>
        <w:ind w:left="1300" w:right="340" w:hanging="351"/>
        <w:spacing w:after="0" w:line="288" w:lineRule="auto"/>
        <w:tabs>
          <w:tab w:leader="none" w:pos="1300" w:val="left"/>
        </w:tabs>
        <w:numPr>
          <w:ilvl w:val="0"/>
          <w:numId w:val="31"/>
        </w:numPr>
        <w:rPr>
          <w:rFonts w:ascii="Arial" w:cs="Arial" w:eastAsia="Arial" w:hAnsi="Arial"/>
          <w:sz w:val="19"/>
          <w:szCs w:val="19"/>
          <w:color w:val="231F20"/>
        </w:rPr>
      </w:pPr>
      <w:r>
        <w:rPr>
          <w:rFonts w:ascii="Times New Roman" w:cs="Times New Roman" w:eastAsia="Times New Roman" w:hAnsi="Times New Roman"/>
          <w:sz w:val="19"/>
          <w:szCs w:val="19"/>
          <w:color w:val="231F20"/>
        </w:rPr>
        <w:t>civil and criminal penalties, up to and including criminal prosecution resulting in fines, exclusion from healthcare reimbursement programs and imprisonment.</w:t>
      </w:r>
    </w:p>
    <w:p>
      <w:pPr>
        <w:spacing w:after="0" w:line="3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9"/>
          <w:szCs w:val="19"/>
          <w:color w:val="231F20"/>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17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Any drugs we develop may become subject to unfavorable pricing regulations, third-party reimbursement practices or healthcare reform initiatives, thereby harming our business.</w:t>
      </w:r>
    </w:p>
    <w:p>
      <w:pPr>
        <w:spacing w:after="0" w:line="4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Because our product candidates represent new approaches to the treatment of genetic -based diseases, we cannot be sure that coverage and reimbursement will be available for, or accurately estimate the potential revenue from, our product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 or other measures to reduce drug prices.</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product candidates. Increasingly, third-party payors, such as government and private insurance plans, are requiring that drug companies provide them with predetermined discounts from list prices, and are seeking to reduce the</w:t>
      </w:r>
    </w:p>
    <w:p>
      <w:pPr>
        <w:sectPr>
          <w:pgSz w:w="11880" w:h="15480" w:orient="portrait"/>
          <w:cols w:equalWidth="0" w:num="1">
            <w:col w:w="10460"/>
          </w:cols>
          <w:pgMar w:left="700" w:top="963" w:right="720" w:bottom="454" w:gutter="0" w:footer="0" w:header="0"/>
        </w:sectPr>
      </w:pPr>
    </w:p>
    <w:bookmarkStart w:id="56" w:name="page57"/>
    <w:bookmarkEnd w:id="56"/>
    <w:p>
      <w:pPr>
        <w:ind w:right="80"/>
        <w:spacing w:after="0" w:line="266" w:lineRule="auto"/>
        <w:rPr>
          <w:sz w:val="20"/>
          <w:szCs w:val="20"/>
          <w:color w:val="auto"/>
        </w:rPr>
      </w:pPr>
      <w:r>
        <w:rPr>
          <w:rFonts w:ascii="Times New Roman" w:cs="Times New Roman" w:eastAsia="Times New Roman" w:hAnsi="Times New Roman"/>
          <w:sz w:val="19"/>
          <w:szCs w:val="19"/>
          <w:color w:val="231F20"/>
        </w:rPr>
        <w:t>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color w:val="231F20"/>
        </w:rPr>
        <w:t>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w:t>
      </w:r>
    </w:p>
    <w:p>
      <w:pPr>
        <w:spacing w:after="0" w:line="72" w:lineRule="exact"/>
        <w:rPr>
          <w:sz w:val="20"/>
          <w:szCs w:val="20"/>
          <w:color w:val="auto"/>
        </w:rPr>
      </w:pPr>
    </w:p>
    <w:p>
      <w:pPr>
        <w:ind w:left="1300" w:hanging="351"/>
        <w:spacing w:after="0"/>
        <w:tabs>
          <w:tab w:leader="none" w:pos="1300" w:val="left"/>
        </w:tabs>
        <w:numPr>
          <w:ilvl w:val="0"/>
          <w:numId w:val="32"/>
        </w:numPr>
        <w:rPr>
          <w:rFonts w:ascii="Arial" w:cs="Arial" w:eastAsia="Arial" w:hAnsi="Arial"/>
          <w:sz w:val="19"/>
          <w:szCs w:val="19"/>
          <w:color w:val="231F20"/>
        </w:rPr>
      </w:pPr>
      <w:r>
        <w:rPr>
          <w:rFonts w:ascii="Times New Roman" w:cs="Times New Roman" w:eastAsia="Times New Roman" w:hAnsi="Times New Roman"/>
          <w:sz w:val="19"/>
          <w:szCs w:val="19"/>
          <w:color w:val="231F20"/>
        </w:rPr>
        <w:t>they are incident to a physician’s services;</w:t>
      </w:r>
    </w:p>
    <w:p>
      <w:pPr>
        <w:spacing w:after="0" w:line="132" w:lineRule="exact"/>
        <w:rPr>
          <w:rFonts w:ascii="Arial" w:cs="Arial" w:eastAsia="Arial" w:hAnsi="Arial"/>
          <w:sz w:val="19"/>
          <w:szCs w:val="19"/>
          <w:color w:val="231F20"/>
        </w:rPr>
      </w:pPr>
    </w:p>
    <w:p>
      <w:pPr>
        <w:ind w:left="1300" w:right="960" w:hanging="351"/>
        <w:spacing w:after="0" w:line="288" w:lineRule="auto"/>
        <w:tabs>
          <w:tab w:leader="none" w:pos="1300" w:val="left"/>
        </w:tabs>
        <w:numPr>
          <w:ilvl w:val="0"/>
          <w:numId w:val="32"/>
        </w:numPr>
        <w:rPr>
          <w:rFonts w:ascii="Arial" w:cs="Arial" w:eastAsia="Arial" w:hAnsi="Arial"/>
          <w:sz w:val="19"/>
          <w:szCs w:val="19"/>
          <w:color w:val="231F20"/>
        </w:rPr>
      </w:pPr>
      <w:r>
        <w:rPr>
          <w:rFonts w:ascii="Times New Roman" w:cs="Times New Roman" w:eastAsia="Times New Roman" w:hAnsi="Times New Roman"/>
          <w:sz w:val="19"/>
          <w:szCs w:val="19"/>
          <w:color w:val="231F20"/>
        </w:rPr>
        <w:t>they are reasonable and necessary for the diagnosis or treatment of the illness or injury for which they are administered according to accepted standards of medical practice; and</w:t>
      </w:r>
    </w:p>
    <w:p>
      <w:pPr>
        <w:spacing w:after="0" w:line="51" w:lineRule="exact"/>
        <w:rPr>
          <w:rFonts w:ascii="Arial" w:cs="Arial" w:eastAsia="Arial" w:hAnsi="Arial"/>
          <w:sz w:val="19"/>
          <w:szCs w:val="19"/>
          <w:color w:val="231F20"/>
        </w:rPr>
      </w:pPr>
    </w:p>
    <w:p>
      <w:pPr>
        <w:ind w:left="1300" w:hanging="351"/>
        <w:spacing w:after="0"/>
        <w:tabs>
          <w:tab w:leader="none" w:pos="1300" w:val="left"/>
        </w:tabs>
        <w:numPr>
          <w:ilvl w:val="0"/>
          <w:numId w:val="32"/>
        </w:numPr>
        <w:rPr>
          <w:rFonts w:ascii="Arial" w:cs="Arial" w:eastAsia="Arial" w:hAnsi="Arial"/>
          <w:sz w:val="19"/>
          <w:szCs w:val="19"/>
          <w:color w:val="231F20"/>
        </w:rPr>
      </w:pPr>
      <w:r>
        <w:rPr>
          <w:rFonts w:ascii="Times New Roman" w:cs="Times New Roman" w:eastAsia="Times New Roman" w:hAnsi="Times New Roman"/>
          <w:sz w:val="19"/>
          <w:szCs w:val="19"/>
          <w:color w:val="231F20"/>
        </w:rPr>
        <w:t>they have been approved by the FDA and meet other requirements of the statute.</w:t>
      </w:r>
    </w:p>
    <w:p>
      <w:pPr>
        <w:spacing w:after="0" w:line="1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231F20"/>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of our drug products, if approved,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 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Further, there have been, and may continue to be, legislative and regulatory proposals at the U.S. federal and state levels and in foreign jurisdictions directed at broadening the availability and containing or lowering the cost of healthcare. The continuing efforts of the government, insurance companies, managed care organizations and other third-party payors to contain or reduce costs of healthcare may adversely affect our ability to set prices for our products that would allow us to achieve or sustain profitability. In addition, governments may impose price controls on any of our products that obtain marketing approval, which may adversely affect our future profitability.</w:t>
      </w:r>
    </w:p>
    <w:p>
      <w:pPr>
        <w:spacing w:after="0" w:line="299"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9"/>
          <w:szCs w:val="19"/>
          <w:color w:val="231F20"/>
        </w:rPr>
        <w:t>The Inflation Reduction Act of 2022 (“IRA”) was signed into law in August 2022 (see above “Government Regulation—Healthcare Reform”).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w:t>
      </w:r>
    </w:p>
    <w:p>
      <w:pPr>
        <w:spacing w:after="0" w:line="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In some foreign countries, particularly the member states of the European Union, the pricing of prescription pharmaceuticals is subject to governmental control. In these countries, pricing negotiations with governmental authorities can be a long and expensive process after the receipt of marketing approval for a drug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additional clinical trials that compare the cost-effectiveness of our drug candidates to other available therapies in order to obtain reimbursement or pricing approval. Publication of discounts by third- party payors or authorities may lead to further pressure on prices or reimbursement levels within the country of publication and other countries. If reimbursement of our products is unavailable or limited in scope or amount in a particular country, or if pricing is set at unsatisfactory levels, we may be unable to successfully commercialize and achieve or sustain profitability for sales of any of our drug candidates that are approved for marketing in that country and our business could be adversely affected.</w:t>
      </w:r>
    </w:p>
    <w:p>
      <w:pPr>
        <w:sectPr>
          <w:pgSz w:w="11880" w:h="15480" w:orient="portrait"/>
          <w:cols w:equalWidth="0" w:num="1">
            <w:col w:w="10460"/>
          </w:cols>
          <w:pgMar w:left="700" w:top="963" w:right="720" w:bottom="90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9"/>
          <w:szCs w:val="19"/>
          <w:b w:val="1"/>
          <w:bCs w:val="1"/>
          <w:i w:val="1"/>
          <w:iCs w:val="1"/>
          <w:color w:val="231F20"/>
        </w:rPr>
        <w:t>Changes in laws and regulations affecting the healthcare industry could adversely affect our business.</w:t>
      </w:r>
    </w:p>
    <w:p>
      <w:pPr>
        <w:spacing w:after="0" w:line="11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231F20"/>
        </w:rPr>
        <w:t>All aspects of our business, including research and development, manufacturing, marketing, pricing, sales, litigation, and intellectual property rights, are subject to extensive legislation and regulation. Changes in applicable U.S. federal and state laws and agency regulation, as well as foreign laws and regulations, could have a materially negative impact on our business. In the United States and in some other jurisdictions, there have been a number of legislative and regulatory changes and proposed changes regarding the healthcare system that could prevent or delay marketing approval of our product candidates or any potential future product candidates of ours, restrict or regulate post-approval activities, or affect our ability to profitably sell any product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 The next FDA user fee reauthorization package entered the stakeholder negotiation phase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NDAs and other activities supported by user fees assessed against industry.</w:t>
      </w:r>
    </w:p>
    <w:p>
      <w:pPr>
        <w:spacing w:after="0" w:line="7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focus of these efforts and has been significantly affected by major legislative initiatives. For example, in March 2010, Congress passed the ACA,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the CMS to test innovative payment and service delivery models to lower Medicare and Medicaid spending.</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231F20"/>
        </w:rPr>
        <w:t>In addition to the IRA’s drug price negotiation provisions summarized above, Executive Order 14087, issued in October 2022, called for the CMS Innovation Center to prepare and submit a report to the White House on potential payment and delivery modes that would complement to IRA, lower drug costs, and promote access to innovative drugs. In February 2023, CMS published its report which described three potential models focusing on affordability, accessibility and feasibility of implementation for further testing by the CMS Innovation Center. The CMS Innovation Center’s is still testing the majority of the proposed models.</w:t>
      </w:r>
    </w:p>
    <w:p>
      <w:pPr>
        <w:spacing w:after="0" w:line="7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9"/>
          <w:szCs w:val="19"/>
          <w:color w:val="231F20"/>
        </w:rPr>
        <w:t>We expect that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Additionally, there has been heightened governmental scrutiny in the United States of 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CMS promulgated a regulation permitting Medicare Advantage plans to use step therapy for Part B drugs beginning January 1, 2020. In addition, the 2021 Consolidated Appropriations Act incorporated extensive healthcare provisions and amendments to existing laws, including a requirement that all manufacturers of drug products covered under Medicare Part B report the product’s average sales price to CMS beginning on January 1, 2022, subject to enforcement via civil money penalties.</w:t>
      </w:r>
    </w:p>
    <w:p>
      <w:pPr>
        <w:spacing w:after="0" w:line="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The effects of these efforts remain uncertain pending the outcomes of several federal lawsuits challenging state authority to regulate prescription drug payment limits. In December 2020, the U.S. Supreme Court held unanimously that federal law does not preempt the states’ ability to regulate PBMs and other members of the healthcare and pharmaceutical supply chain, an important decision that may lead to further and more aggressive efforts by states in this area. In mid-2022, the FTC also launched sweeping investigations into the practices of the PBM industry that could lead to additional federal and state legislative or regulatory proposals targeting such entities’ operations, pharmacy networks, or financial arrangements. In addition, in the last few years, several states have formed prescription drug affordability boards (“PDABs”) with the authority to implement upper payment limits (“UPLs”) on drugs sold in their respective jurisdictions. There are several pending federal lawsuits challenging the authority of states to impose UPLs, however.</w:t>
      </w:r>
    </w:p>
    <w:p>
      <w:pPr>
        <w:spacing w:after="0" w:line="30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9"/>
          <w:szCs w:val="19"/>
          <w:color w:val="231F20"/>
        </w:rPr>
        <w:t>We cannot predict the likelihood, nature or extent of government regulation that may arise from future legislation or administrative or executive action, either in the United States or abroad. We expect that additional state and federal healthcare reform measures will be</w:t>
      </w:r>
    </w:p>
    <w:p>
      <w:pPr>
        <w:sectPr>
          <w:pgSz w:w="11880" w:h="15480" w:orient="portrait"/>
          <w:cols w:equalWidth="0" w:num="1">
            <w:col w:w="10460"/>
          </w:cols>
          <w:pgMar w:left="700" w:top="965" w:right="720" w:bottom="563" w:gutter="0" w:footer="0" w:header="0"/>
        </w:sectPr>
      </w:pPr>
    </w:p>
    <w:bookmarkStart w:id="58" w:name="page59"/>
    <w:bookmarkEnd w:id="58"/>
    <w:p>
      <w:pPr>
        <w:ind w:right="320"/>
        <w:spacing w:after="0" w:line="286" w:lineRule="auto"/>
        <w:rPr>
          <w:sz w:val="20"/>
          <w:szCs w:val="20"/>
          <w:color w:val="auto"/>
        </w:rPr>
      </w:pPr>
      <w:r>
        <w:rPr>
          <w:rFonts w:ascii="Times New Roman" w:cs="Times New Roman" w:eastAsia="Times New Roman" w:hAnsi="Times New Roman"/>
          <w:sz w:val="19"/>
          <w:szCs w:val="19"/>
          <w:color w:val="231F20"/>
        </w:rPr>
        <w:t>adopted in the future, any of which could limit the amounts that federal and state governments will pay for healthcare products and services.</w:t>
      </w:r>
    </w:p>
    <w:p>
      <w:pPr>
        <w:spacing w:after="0" w:line="15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Risks associated with our operations outside of the United States and developments in international trade by the U.S. and foreign governments could adversely affect our business.</w:t>
      </w:r>
    </w:p>
    <w:p>
      <w:pPr>
        <w:spacing w:after="0" w:line="4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We have operations and conduct business outside the United States, and we plan to continue to expand these operations. Therefore, we are subject to risks related to operating in foreign countries, which include unfamiliar foreign laws or regulatory requirements or unexpected changes to those laws or requirements; other laws and regulatory requirements to which our business activities abroad are subject, such as the Foreign Corrupt Practices Act and the U.K. Bribery Act; changes in the political or economic condition of a specific country or region, including Russia’s invasion of Ukraine, the conflict in the Middle East, and the potential for a wider European or global conflict; fluctuations in the value of foreign currency versus the U.S. dollar; volatility in inflation and interest rates; our ability to deploy overseas funds in an efficient manner; tariffs, trade protection measures, import or export licensing requirements, trade embargoes, and sanctions (including those administered by the Office of Foreign Assets Control of the U.S. Department of the Treasury), and other trade barriers; global instability from an outbreak of pandemic or contagious disease, difficulties in attracting and retaining qualified personnel; and cultural differences in the conduct of business. For example, given developments related to international trade over the past few years, unexpected changes in tariffs could adversely affect our cost of goods sold and/or the foreign sales of our product candidates. Changes impacting our ability to conduct business outside of the United States, or changes to the regulatory regime applicable to our operations in countries outside of the United States (such as with respect to the approval of our product candidates), may materially and adversely impact our business, prospects, operating results, and financial condition.</w:t>
      </w:r>
    </w:p>
    <w:p>
      <w:pPr>
        <w:spacing w:after="0" w:line="200" w:lineRule="exact"/>
        <w:rPr>
          <w:sz w:val="20"/>
          <w:szCs w:val="20"/>
          <w:color w:val="auto"/>
        </w:rPr>
      </w:pPr>
    </w:p>
    <w:p>
      <w:pPr>
        <w:spacing w:after="0" w:line="22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or third parties upon whom we depend may be adversely affected by natural disasters and/or local and global health epidemics, and our business, financial condition and results of operations could be adversely affected.</w:t>
      </w:r>
    </w:p>
    <w:p>
      <w:pPr>
        <w:spacing w:after="0" w:line="4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9"/>
          <w:szCs w:val="19"/>
          <w:color w:val="231F20"/>
        </w:rPr>
        <w:t>Natural disasters or local and global health epidemics could severely disrupt our operations and have a material adverse effect on our business operations. If a natural disaster, health epidemic, or other event beyond our control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for us to continue our business for a substantial period of time. As a clinical -stage company with multiple programs and multiple clinical trials currently underway, any natural disasters and/or local or global health issues could impact the execution of our preclinical studies and clinical trials, and could have a material and adverse effect on our business operations.</w:t>
      </w:r>
    </w:p>
    <w:p>
      <w:pPr>
        <w:spacing w:after="0" w:line="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231F20"/>
        </w:rPr>
        <w:t>While we have adapted our processes to lessen the potential impact that a natural disaster and/or health epidemic may have on our business, any potential delays or long-term impacts on our business, our clinical trials, healthcare systems or the global economy could be highly uncertain and the disaster recovery and business continuity plans we have in place may prove inadequate. For example, w</w:t>
      </w:r>
      <w:r>
        <w:rPr>
          <w:rFonts w:ascii="Times New Roman" w:cs="Times New Roman" w:eastAsia="Times New Roman" w:hAnsi="Times New Roman"/>
          <w:sz w:val="19"/>
          <w:szCs w:val="19"/>
          <w:color w:val="383738"/>
        </w:rPr>
        <w:t>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383738"/>
        </w:rPr>
        <w:t xml:space="preserve">rely upon third parties for many aspects of our business, including the raw materials used to make our product candidates and the conduct of our clinical trials and preclinical studies. </w:t>
      </w:r>
      <w:r>
        <w:rPr>
          <w:rFonts w:ascii="Times New Roman" w:cs="Times New Roman" w:eastAsia="Times New Roman" w:hAnsi="Times New Roman"/>
          <w:sz w:val="19"/>
          <w:szCs w:val="19"/>
          <w:color w:val="231F20"/>
        </w:rPr>
        <w:t>While we have built up inventory to assist us through uncertain operating</w:t>
      </w:r>
      <w:r>
        <w:rPr>
          <w:rFonts w:ascii="Times New Roman" w:cs="Times New Roman" w:eastAsia="Times New Roman" w:hAnsi="Times New Roman"/>
          <w:sz w:val="19"/>
          <w:szCs w:val="19"/>
          <w:color w:val="383738"/>
        </w:rPr>
        <w:t xml:space="preserve"> </w:t>
      </w:r>
      <w:r>
        <w:rPr>
          <w:rFonts w:ascii="Times New Roman" w:cs="Times New Roman" w:eastAsia="Times New Roman" w:hAnsi="Times New Roman"/>
          <w:sz w:val="19"/>
          <w:szCs w:val="19"/>
          <w:color w:val="231F20"/>
        </w:rPr>
        <w:t>environments, our suppliers may be disrupted now or in the future due to a natural disaster and/or health epidemic, which could affect our ability to procure items that are essential for our research and development activities and could cause increases to our costs, inflation, and significant disruptions to our business. These effects, among others, could materially adversely affect our business, financial condition, results of operations, and prospects.</w:t>
      </w:r>
    </w:p>
    <w:p>
      <w:pPr>
        <w:spacing w:after="0" w:line="1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There is a substantial risk of product liability claims in our business. If we are unable to obtain or maintain sufficient insurance, a product liability claim against us could adversely affect our business.</w:t>
      </w:r>
    </w:p>
    <w:p>
      <w:pPr>
        <w:spacing w:after="0" w:line="4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231F20"/>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In addition, if any of our collaboration partners face product liability claims, our programs could also be affected and our business could be harmed.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adversely affect our business.</w:t>
      </w:r>
    </w:p>
    <w:p>
      <w:pPr>
        <w:sectPr>
          <w:pgSz w:w="11880" w:h="15480" w:orient="portrait"/>
          <w:cols w:equalWidth="0" w:num="1">
            <w:col w:w="10480"/>
          </w:cols>
          <w:pgMar w:left="700" w:top="963" w:right="700" w:bottom="1440" w:gutter="0" w:footer="0" w:header="0"/>
        </w:sectPr>
      </w:pPr>
    </w:p>
    <w:bookmarkStart w:id="59" w:name="page60"/>
    <w:bookmarkEnd w:id="59"/>
    <w:p>
      <w:pPr>
        <w:ind w:right="280"/>
        <w:spacing w:after="0" w:line="284" w:lineRule="auto"/>
        <w:rPr>
          <w:sz w:val="20"/>
          <w:szCs w:val="20"/>
          <w:color w:val="auto"/>
        </w:rPr>
      </w:pPr>
      <w:r>
        <w:rPr>
          <w:rFonts w:ascii="Times New Roman" w:cs="Times New Roman" w:eastAsia="Times New Roman" w:hAnsi="Times New Roman"/>
          <w:sz w:val="19"/>
          <w:szCs w:val="19"/>
          <w:b w:val="1"/>
          <w:bCs w:val="1"/>
          <w:i w:val="1"/>
          <w:iCs w:val="1"/>
          <w:color w:val="231F20"/>
        </w:rPr>
        <w:t>If we do not comply with laws regulating the protection of the environment and health and human safety, our business could be adversely affected.</w:t>
      </w:r>
    </w:p>
    <w:p>
      <w:pPr>
        <w:spacing w:after="0" w:line="4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 any of, these laws or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Risks Related to Our Dependence on Third Parties</w:t>
      </w:r>
    </w:p>
    <w:p>
      <w:pPr>
        <w:spacing w:after="0" w:line="24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may depend on collaborations with third parties for the development and commercialization of certain of our product candidates.</w:t>
      </w:r>
    </w:p>
    <w:p>
      <w:pPr>
        <w:spacing w:after="0" w:line="3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We may depend on third-party collaborators for the development and commercialization of certain of our product candidates. Our potential future collaborators include large and mid-size pharmaceutical companies, regional and national pharmaceutical companies and biotechnology companies. For example, in January 2023, we commenced a collaboration with GSK to research, develop, and commercialize oligonucleotide therapeutics. Collaborations are complex and time- consuming to negotiate and document. We may not be able to negotiate collaborations on a timely basis, on acceptable terms, or at all. We may also be restricted under existing license or collaboration agreements from entering into agreements on certain terms with other potential collaborators. If we are unable to enter into collaborations with respect to a product candidate,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231F20"/>
        </w:rPr>
        <w:t>Depending on the type of collaborations we enter into, we may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Collaborations involving our product candidates may pose the following risks to us:</w:t>
      </w:r>
    </w:p>
    <w:p>
      <w:pPr>
        <w:spacing w:after="0" w:line="133" w:lineRule="exact"/>
        <w:rPr>
          <w:sz w:val="20"/>
          <w:szCs w:val="20"/>
          <w:color w:val="auto"/>
        </w:rPr>
      </w:pPr>
    </w:p>
    <w:p>
      <w:pPr>
        <w:ind w:left="1300" w:right="340" w:hanging="350"/>
        <w:spacing w:after="0" w:line="288" w:lineRule="auto"/>
        <w:tabs>
          <w:tab w:leader="none" w:pos="130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may have significant discretion in determining the efforts and resources that they will apply to these collaborations;</w:t>
      </w:r>
    </w:p>
    <w:p>
      <w:pPr>
        <w:spacing w:after="0" w:line="51" w:lineRule="exact"/>
        <w:rPr>
          <w:rFonts w:ascii="Arial" w:cs="Arial" w:eastAsia="Arial" w:hAnsi="Arial"/>
          <w:sz w:val="19"/>
          <w:szCs w:val="19"/>
          <w:color w:val="231F20"/>
        </w:rPr>
      </w:pPr>
    </w:p>
    <w:p>
      <w:pPr>
        <w:ind w:left="1300" w:right="180" w:hanging="350"/>
        <w:spacing w:after="0" w:line="258" w:lineRule="auto"/>
        <w:tabs>
          <w:tab w:leader="none" w:pos="130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1" w:lineRule="exact"/>
        <w:rPr>
          <w:rFonts w:ascii="Arial" w:cs="Arial" w:eastAsia="Arial" w:hAnsi="Arial"/>
          <w:sz w:val="19"/>
          <w:szCs w:val="19"/>
          <w:color w:val="231F20"/>
        </w:rPr>
      </w:pPr>
    </w:p>
    <w:p>
      <w:pPr>
        <w:ind w:left="1300" w:hanging="350"/>
        <w:spacing w:after="0" w:line="266" w:lineRule="auto"/>
        <w:tabs>
          <w:tab w:leader="none" w:pos="130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3" w:lineRule="exact"/>
        <w:rPr>
          <w:rFonts w:ascii="Arial" w:cs="Arial" w:eastAsia="Arial" w:hAnsi="Arial"/>
          <w:sz w:val="19"/>
          <w:szCs w:val="19"/>
          <w:color w:val="231F20"/>
        </w:rPr>
      </w:pPr>
    </w:p>
    <w:p>
      <w:pPr>
        <w:ind w:left="1300" w:right="100" w:hanging="350"/>
        <w:spacing w:after="0" w:line="265" w:lineRule="auto"/>
        <w:tabs>
          <w:tab w:leader="none" w:pos="130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9"/>
          <w:szCs w:val="19"/>
          <w:color w:val="231F20"/>
        </w:rPr>
      </w:pPr>
    </w:p>
    <w:p>
      <w:pPr>
        <w:ind w:left="1300" w:right="700" w:hanging="350"/>
        <w:spacing w:after="0" w:line="288" w:lineRule="auto"/>
        <w:tabs>
          <w:tab w:leader="none" w:pos="130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may require us to enter into collaboration agreements that contain exclusivity provisions and/or termination penalties;</w:t>
      </w:r>
    </w:p>
    <w:p>
      <w:pPr>
        <w:spacing w:after="0" w:line="51" w:lineRule="exact"/>
        <w:rPr>
          <w:rFonts w:ascii="Arial" w:cs="Arial" w:eastAsia="Arial" w:hAnsi="Arial"/>
          <w:sz w:val="19"/>
          <w:szCs w:val="19"/>
          <w:color w:val="231F20"/>
        </w:rPr>
      </w:pPr>
    </w:p>
    <w:p>
      <w:pPr>
        <w:ind w:left="1300" w:right="120" w:hanging="350"/>
        <w:spacing w:after="0" w:line="288" w:lineRule="auto"/>
        <w:tabs>
          <w:tab w:leader="none" w:pos="130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a collaborator with marketing and distribution rights to one or more products may not commit sufficient resources to the marketing and distribution of such product or products;</w:t>
      </w:r>
    </w:p>
    <w:p>
      <w:pPr>
        <w:sectPr>
          <w:pgSz w:w="11880" w:h="15480" w:orient="portrait"/>
          <w:cols w:equalWidth="0" w:num="1">
            <w:col w:w="10460"/>
          </w:cols>
          <w:pgMar w:left="700" w:top="965" w:right="720" w:bottom="558" w:gutter="0" w:footer="0" w:header="0"/>
        </w:sectPr>
      </w:pPr>
    </w:p>
    <w:bookmarkStart w:id="60" w:name="page61"/>
    <w:bookmarkEnd w:id="60"/>
    <w:p>
      <w:pPr>
        <w:ind w:left="1300" w:right="400" w:hanging="351"/>
        <w:spacing w:after="0" w:line="265" w:lineRule="auto"/>
        <w:tabs>
          <w:tab w:leader="none" w:pos="130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73" w:lineRule="exact"/>
        <w:rPr>
          <w:rFonts w:ascii="Arial" w:cs="Arial" w:eastAsia="Arial" w:hAnsi="Arial"/>
          <w:sz w:val="19"/>
          <w:szCs w:val="19"/>
          <w:color w:val="231F20"/>
        </w:rPr>
      </w:pPr>
    </w:p>
    <w:p>
      <w:pPr>
        <w:ind w:left="1300" w:right="800" w:hanging="351"/>
        <w:spacing w:after="0" w:line="266" w:lineRule="auto"/>
        <w:tabs>
          <w:tab w:leader="none" w:pos="130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73" w:lineRule="exact"/>
        <w:rPr>
          <w:rFonts w:ascii="Arial" w:cs="Arial" w:eastAsia="Arial" w:hAnsi="Arial"/>
          <w:sz w:val="19"/>
          <w:szCs w:val="19"/>
          <w:color w:val="231F20"/>
        </w:rPr>
      </w:pPr>
    </w:p>
    <w:p>
      <w:pPr>
        <w:ind w:left="1300" w:right="480" w:hanging="351"/>
        <w:spacing w:after="0" w:line="285" w:lineRule="auto"/>
        <w:tabs>
          <w:tab w:leader="none" w:pos="130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collaborations may be terminated and, if terminated, may result in a need for additional capital to pursue further development or commercialization of the applicable product candidates.</w:t>
      </w:r>
    </w:p>
    <w:p>
      <w:pPr>
        <w:spacing w:after="0" w:line="4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b w:val="1"/>
          <w:bCs w:val="1"/>
          <w:i w:val="1"/>
          <w:iCs w:val="1"/>
          <w:color w:val="231F20"/>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5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231F20"/>
        </w:rPr>
        <w:t>We do not currently have any sales and marketing or distribution capabilities. Depending on the collaborations that we enter into, we may expect our collaborators to provide assistance with development, regulatory affairs, marketing, sales and distribution, among other areas. Our future revenues may depend heavily on the success of the efforts of these third parties.</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We may not be successful in our collaborations due to various factors, including our ability to successfully demonstrate proof of mechanism in humans, our ability to demonstrate the safety and efficacy of our specific product candidates, our ability to manufacture or have third parties manufacture our product candidates, the strength of our intellectual property and/or concerns about potential challenges to or limitations of our intellectual property. To the extent we have entered into, or enter into new, collaborations, we may not be able to maintain them if, for example, development or approval of a product candidate is delayed, challenges are raised as to the validity or scope of our intellectual property or sales of an approved drug are lower than we or our collaboration partner expected.</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For certain product candidates that we may develop, we may form collaborations to fund all or part of the costs of drug development and commercialization, such as our collaboration with GSK. We may not, however, be able to enter into additional collaborations for certain other programs, and the terms of any collaboration agreement we do secure may not be favorable to us. If we are not successful in our efforts to enter into future collaboration arrangements with respect to one or more of our product candidates, we may not have sufficient funds to develop that or any other product candidate internally, or to bring any product candidates to market. If we do not have sufficient funds to develop and bring our product candidates to market, we will not be able to generate sales revenues from these product candidates, and this will substantially harm our business.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We rely, and expect to continue to rely, on third parties to conduct some aspects of our compound formulation, research, preclinical studies and clinical trials, and those third parties may not perform satisfactorily, including failing to meet deadlines for the completion of such formulation, research or testing.</w:t>
      </w:r>
    </w:p>
    <w:p>
      <w:pPr>
        <w:spacing w:after="0" w:line="5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We do not independently conduct all aspects of our drug discovery activities, compound formulation research, preclinical studies, or clinical trials of product candidates. We currently rely, and expect to continue to rely, on third parties to conduct some aspects of our research and development, preclinical and 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preclinical studies that supports our INDs/CTAs is conducted in accordance with GLP requirements and, likewise, that our clinical trials are conducted in accordance with GCP requirements, the study plan and protocol for each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IND/CTA submissions and will not be able to, or may be delayed in our efforts to, successfully develop and commercialize such product candidates.</w:t>
      </w:r>
    </w:p>
    <w:p>
      <w:pPr>
        <w:spacing w:after="0" w:line="200" w:lineRule="exact"/>
        <w:rPr>
          <w:sz w:val="20"/>
          <w:szCs w:val="20"/>
          <w:color w:val="auto"/>
        </w:rPr>
      </w:pPr>
    </w:p>
    <w:p>
      <w:pPr>
        <w:spacing w:after="0" w:line="22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9"/>
          <w:szCs w:val="19"/>
          <w:b w:val="1"/>
          <w:bCs w:val="1"/>
          <w:i w:val="1"/>
          <w:iCs w:val="1"/>
          <w:color w:val="231F20"/>
        </w:rPr>
        <w:t>We rely on third parties to design, conduct, supervise and monitor our preclinical studies and clinical trials, and if those third parties perform in an unsatisfactory manner, it may harm our business.</w:t>
      </w:r>
    </w:p>
    <w:p>
      <w:pPr>
        <w:spacing w:after="0" w:line="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We rely on third party clinical investigators, CROs, clinical data management organizations and consultants to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including our inability to control whether sufficient resources are applied to our programs. If any of our CROs are acquired or consolidated, these concerns are likely to be</w:t>
      </w:r>
    </w:p>
    <w:p>
      <w:pPr>
        <w:sectPr>
          <w:pgSz w:w="11880" w:h="15480" w:orient="portrait"/>
          <w:cols w:equalWidth="0" w:num="1">
            <w:col w:w="10460"/>
          </w:cols>
          <w:pgMar w:left="700" w:top="977" w:right="720" w:bottom="409"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9"/>
          <w:szCs w:val="19"/>
          <w:color w:val="231F20"/>
        </w:rPr>
        <w:t>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7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study or trial. The FDA and other health authorities require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19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rely on third parties in the supply and manufacture of our product candidates for our research, preclinical and clinical activities, and may do the same for commercial supplies of our product candidates.</w:t>
      </w:r>
    </w:p>
    <w:p>
      <w:pPr>
        <w:spacing w:after="0" w:line="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While we have built our own internal manufacturing capabilities, we have not yet manufactured our product candidates on a commercial scale and may not be able to do so for any of our product candidates. In addition, we currently rely on third parties in the supply and manufacture of materials for our research, preclinical and clinical activities and may continue to do so for the foreseeable future. We may do the same for the commercial supply of our drug product. We use third parties to perform additional steps in the manufacturing process, such as the filling, finishing and labeling of vials and storage of our product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oligonucleotides, there may be increased competition for the supply of the raw materials that are necessary to make our oligonucleotides, which could severely impact the manufacturing of our product candidates.</w:t>
      </w:r>
    </w:p>
    <w:p>
      <w:pPr>
        <w:spacing w:after="0" w:line="8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30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231F20"/>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In complying with the manufacturing regulations of the FDA and other comparable foreign regulatory authorities, we and</w:t>
      </w:r>
    </w:p>
    <w:p>
      <w:pPr>
        <w:sectPr>
          <w:pgSz w:w="11880" w:h="15480" w:orient="portrait"/>
          <w:cols w:equalWidth="0" w:num="1">
            <w:col w:w="10460"/>
          </w:cols>
          <w:pgMar w:left="700" w:top="963" w:right="720" w:bottom="482" w:gutter="0" w:footer="0" w:header="0"/>
        </w:sectPr>
      </w:pPr>
    </w:p>
    <w:bookmarkStart w:id="62" w:name="page63"/>
    <w:bookmarkEnd w:id="62"/>
    <w:p>
      <w:pPr>
        <w:spacing w:after="0" w:line="247" w:lineRule="auto"/>
        <w:rPr>
          <w:sz w:val="20"/>
          <w:szCs w:val="20"/>
          <w:color w:val="auto"/>
        </w:rPr>
      </w:pPr>
      <w:r>
        <w:rPr>
          <w:rFonts w:ascii="Times New Roman" w:cs="Times New Roman" w:eastAsia="Times New Roman" w:hAnsi="Times New Roman"/>
          <w:sz w:val="19"/>
          <w:szCs w:val="19"/>
          <w:color w:val="231F20"/>
        </w:rPr>
        <w:t>our third-party manufacturers must spend significant time, money, and effort in the areas of design and development, testing, production, record-keeping and quality control to assure that the products meet applicable specifications and other regulatory requirements. Although our agreements with third-party manufacturers require them to perform according to certain cGMP requirements such as those relating to quality control, quality assurance and qualified personnel, we cannot otherwise control the conduct of our third-party manufacturers to implement and maintain these standards. If any of our third-party manufacturers cannot successfully manufacture material that conforms to our specifications and the regulatory requirements of the FDA, or other comparable foreign authorities, we would be prevented from obtaining regulatory approval for our drug candidates unless and until we engage a substitute supplier that can comply with such requirements, which we may not be able to do on commercially reasonable terms or at all. In addition, we and our third-party manufacturers responsible for the manufacture of commercial supplies of our products for which we retain regulatory approval, if any, are subject to inspection and approval by regulatory authorities before we may commence the manufacture and sale of any of such products, and thereafter are subject to ongoing inspection from time to time. Our third-party manufacturers may not be able to comply with applicable cGMP regulations or similar regulatory requirements outside of the United States. Our failure, or the failure of our third -party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Any such failure by us or any of our suppliers would significantly impact our ability to develop, obtain regulatory approval for or market our drug candidates, if approved.</w:t>
      </w:r>
    </w:p>
    <w:p>
      <w:pPr>
        <w:spacing w:after="0" w:line="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231F20"/>
        </w:rPr>
        <w:t>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 -party manufacturing for product candidates, or to do so on commercially reasonable terms, we may not be able to develop and commercialize our product candidates successfully. Failure to execute on our manufacturing requirements, either by us or by one of our third-party vendors, could adversely affect our business in a number of ways, including:</w:t>
      </w:r>
    </w:p>
    <w:p>
      <w:pPr>
        <w:spacing w:after="0" w:line="85" w:lineRule="exact"/>
        <w:rPr>
          <w:sz w:val="20"/>
          <w:szCs w:val="20"/>
          <w:color w:val="auto"/>
        </w:rPr>
      </w:pPr>
    </w:p>
    <w:p>
      <w:pPr>
        <w:ind w:left="1300" w:hanging="351"/>
        <w:spacing w:after="0"/>
        <w:tabs>
          <w:tab w:leader="none" w:pos="130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an inability to initiate or continue clinical trials of product candidates under development;</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delays in submitting regulatory applications, or receiving regulatory approvals, for product candidates;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loss of the cooperation of a collaborator;</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additional inspections by regulatory authorities;</w:t>
      </w:r>
    </w:p>
    <w:p>
      <w:pPr>
        <w:spacing w:after="0" w:line="134" w:lineRule="exact"/>
        <w:rPr>
          <w:rFonts w:ascii="Arial" w:cs="Arial" w:eastAsia="Arial" w:hAnsi="Arial"/>
          <w:sz w:val="19"/>
          <w:szCs w:val="19"/>
          <w:color w:val="231F20"/>
        </w:rPr>
      </w:pPr>
    </w:p>
    <w:p>
      <w:pPr>
        <w:ind w:left="1300" w:hanging="351"/>
        <w:spacing w:after="0"/>
        <w:tabs>
          <w:tab w:leader="none" w:pos="130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requirements to cease distribution or to recall batches of our product candidates; and</w:t>
      </w:r>
    </w:p>
    <w:p>
      <w:pPr>
        <w:spacing w:after="0" w:line="132" w:lineRule="exact"/>
        <w:rPr>
          <w:rFonts w:ascii="Arial" w:cs="Arial" w:eastAsia="Arial" w:hAnsi="Arial"/>
          <w:sz w:val="19"/>
          <w:szCs w:val="19"/>
          <w:color w:val="231F20"/>
        </w:rPr>
      </w:pPr>
    </w:p>
    <w:p>
      <w:pPr>
        <w:ind w:left="1300" w:right="140" w:hanging="351"/>
        <w:spacing w:after="0" w:line="288" w:lineRule="auto"/>
        <w:tabs>
          <w:tab w:leader="none" w:pos="130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in the event of approval to market and commercialize a product candidate, an inability to meet commercial demands for our products.</w:t>
      </w:r>
    </w:p>
    <w:p>
      <w:pPr>
        <w:spacing w:after="0" w:line="1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5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9"/>
          <w:szCs w:val="19"/>
          <w:color w:val="231F20"/>
        </w:rPr>
        <w:t>We currently have no sales, marketing or distribution capabilities. If any of our product candidates is approved, we will need to develop internal sales, marketing and distribution capabilities to commercialize such products, which would be expensive and time-consuming, or rely on or enter into additional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 party marketing or distribution arrangements, any revenue we may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Risks Related to Managing Our Operations</w:t>
      </w:r>
    </w:p>
    <w:p>
      <w:pPr>
        <w:spacing w:after="0" w:line="24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If we are unable to attract and retain qualified key management and scientists, staff, consultants and advisors, our ability to implement our business plan may be adversely affected.</w:t>
      </w:r>
    </w:p>
    <w:p>
      <w:pPr>
        <w:spacing w:after="0" w:line="4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231F20"/>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w:t>
      </w:r>
    </w:p>
    <w:p>
      <w:pPr>
        <w:sectPr>
          <w:pgSz w:w="11880" w:h="15480" w:orient="portrait"/>
          <w:cols w:equalWidth="0" w:num="1">
            <w:col w:w="10460"/>
          </w:cols>
          <w:pgMar w:left="700" w:top="963" w:right="720" w:bottom="461" w:gutter="0" w:footer="0" w:header="0"/>
        </w:sectPr>
      </w:pPr>
    </w:p>
    <w:bookmarkStart w:id="63" w:name="page64"/>
    <w:bookmarkEnd w:id="63"/>
    <w:p>
      <w:pPr>
        <w:spacing w:after="0" w:line="247" w:lineRule="auto"/>
        <w:rPr>
          <w:sz w:val="20"/>
          <w:szCs w:val="20"/>
          <w:color w:val="auto"/>
        </w:rPr>
      </w:pPr>
      <w:r>
        <w:rPr>
          <w:rFonts w:ascii="Times New Roman" w:cs="Times New Roman" w:eastAsia="Times New Roman" w:hAnsi="Times New Roman"/>
          <w:sz w:val="19"/>
          <w:szCs w:val="19"/>
          <w:color w:val="231F20"/>
        </w:rPr>
        <w:t>to have an increased need to recruit and hire qualified personnel as we advance our programs and expand operations. Failure to successfully recruit and retain personnel could impact our anticipated development plans and timelines.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20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As we continue our preclinical studies and clinical trials and advance to further clinical development, we may experience difficulties in managing our growth and expanding our operations.</w:t>
      </w:r>
    </w:p>
    <w:p>
      <w:pPr>
        <w:spacing w:after="0" w:line="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Although we have assembled a team of employees with experience developing medicines and obtaining regulatory approval to market those medicines, we have limited experience as a company in drug development. We are a clinical-stage biotechnology company focused on unlocking the broad potential of RNA medicines to transform human health. Our pipeline is focused on our obesity, AATD and PNPLA3 I148M liver disease programs, and also includes clinical programs for DMD and HD, as well as several preclinical programs utilizing our versatile RNA medicines platform. As we advance product candidates through preclinical studies and clinical trials, we will need to expand our development, regulatory and manufacturing capabilities or contract with other organizations to provide these capabilities for us. In addition, we must manage our relationships with collaborators or partners, suppliers and other organizations, including our collaboration with GSK.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our future growth may require significant capital expenditures and may divert financial resources from other projects, such as the development of our product candidates. If we are unable to effectively manage our future growth, our expenses may increase and our ability to generate revenue could be reduced.</w:t>
      </w:r>
    </w:p>
    <w:p>
      <w:pPr>
        <w:spacing w:after="0" w:line="20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Our employees, consultants and collaborators may engage in misconduct or other improper activities, including noncompliance with regulatory standards and requirements.</w:t>
      </w:r>
    </w:p>
    <w:p>
      <w:pPr>
        <w:spacing w:after="0" w:line="4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231F20"/>
        </w:rPr>
        <w:t>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Security breaches, cybersecurity threats, misuse of AI tools, loss of data and other disruptions could compromise sensitive information related to our business, prevent us from accessing critical information or expose us to liability, which could adversely affect our business and our reputation.</w:t>
      </w:r>
    </w:p>
    <w:p>
      <w:pPr>
        <w:spacing w:after="0" w:line="5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In the ordinary course of our business, we, our CROs and other third parties, including our managed service providers (“MSPs”), on which we rely collect and store sensitive data, including legally protected patient health information, personally identifiable information about our employees, intellectual property, vendor information, and proprietary business information. We, along with our MSPs, manage and maintain our applications and data utilizing cloud-based and on-site systems. These applications and data</w:t>
      </w:r>
    </w:p>
    <w:p>
      <w:pPr>
        <w:sectPr>
          <w:pgSz w:w="11880" w:h="15480" w:orient="portrait"/>
          <w:cols w:equalWidth="0" w:num="1">
            <w:col w:w="10480"/>
          </w:cols>
          <w:pgMar w:left="700" w:top="963" w:right="700" w:bottom="805" w:gutter="0" w:footer="0" w:header="0"/>
        </w:sectPr>
      </w:pPr>
    </w:p>
    <w:bookmarkStart w:id="64" w:name="page65"/>
    <w:bookmarkEnd w:id="64"/>
    <w:p>
      <w:pPr>
        <w:ind w:right="20"/>
        <w:spacing w:after="0" w:line="286" w:lineRule="auto"/>
        <w:rPr>
          <w:sz w:val="20"/>
          <w:szCs w:val="20"/>
          <w:color w:val="auto"/>
        </w:rPr>
      </w:pPr>
      <w:r>
        <w:rPr>
          <w:rFonts w:ascii="Times New Roman" w:cs="Times New Roman" w:eastAsia="Times New Roman" w:hAnsi="Times New Roman"/>
          <w:sz w:val="19"/>
          <w:szCs w:val="19"/>
          <w:color w:val="231F20"/>
        </w:rPr>
        <w:t>encompass a wide variety of business-critical information, including research and development information and business and financial information.</w:t>
      </w:r>
    </w:p>
    <w:p>
      <w:pPr>
        <w:spacing w:after="0" w:line="4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231F20"/>
        </w:rPr>
        <w:t>The secure processing, storage, maintenance and transmission of this critical information by us, or our CROs and other third-party partners, is vital to our operations and business strategy. We also have systems in place at our facilities to mitigate disruptions to our communications systems, including the prevention of a loss to our electrical systems. Although we are proactive in our approach and take measures to protect sensitive information from unauthorized access or disclosure, our information technology and infrastructure, or that of our CROs or other third party partners, may be vulnerable to attacks by hackers, viruses, breaches, interruptions due to employee error, malfeasance or other disruptions, lapses in compliance with privacy and security mandates, or damage from natural disasters, terrorism, war and telecommunication and electrical failures. We continue to monitor, investigate and address potential incidents as they arise. In addition, cyberattacks, malicious internet-based activity and fraud are prevalent and continue to increase in frequency. Any such event, including a cyberattack, could compromise our networks, or that of our CROs or other third parties, and the information stored there could be accessed by unauthorized parties, publicly disclosed, lost or stolen. Furthermore, any such event could subject us to liability, negatively impact our business operations, or result in information theft, data corruption, operational disruption, damage to our reputation, or financial loss.</w:t>
      </w:r>
    </w:p>
    <w:p>
      <w:pPr>
        <w:spacing w:after="0" w:line="7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231F20"/>
        </w:rPr>
        <w:t>As part of our robust data protection practices, we regularly conduct business continuity and disaster recovery testing of our key information systems and data. 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(including but not limited to GDPR, HIPAA and HITECH), government enforcement actions and regulatory penalties. Unauthorized access, loss or dissemination could also adversely affect our business, damage our reputation, and disrupt our operations, including our ability to conduct research and development activities, process and prepare company financial information, and manage various general and administrative aspects of our business. For example, the loss of intellectual property or clinical trial data from completed or ongoing or planned clinical trials, in addition to privacy concerns, could result in delays in our regulatory approval efforts and significantly increase our costs to recover or reproduce the data. In addition, while we take measures to help ensure early detection, there can be no assurance that we, or our CROs and other third party partners, will promptly detect any such disruption or security breach, if at all.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31F20"/>
        </w:rPr>
        <w:t>Artificial Intelligence (“AI”) is increasingly being used within many different industries. While we have developed policies governing the use of AI to encourage appropriate use of AI by our employees, contractors, and other third-parties, any failure to adhere to such policies that we may establish could violate confidentiality obligations or applicable laws and regulations, jeopardize our intellectual property rights, or result in the misuse of personally identifiable information or the injection of malware into our systems, any of which could have a material adverse effect on our business.</w:t>
      </w:r>
    </w:p>
    <w:p>
      <w:pPr>
        <w:spacing w:after="0" w:line="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31F20"/>
        </w:rPr>
        <w:t xml:space="preserve">Numerous federal, state and international laws address privacy, data protection and the collection, storing, sharing, use, disclosure and protection of personally identifiable information and other user data, including in the context of the development and deployment of AI technologies. In the United States, </w:t>
      </w:r>
      <w:r>
        <w:rPr>
          <w:rFonts w:ascii="Times New Roman" w:cs="Times New Roman" w:eastAsia="Times New Roman" w:hAnsi="Times New Roman"/>
          <w:sz w:val="18"/>
          <w:szCs w:val="18"/>
          <w:color w:val="231F20"/>
        </w:rPr>
        <w:t>many</w:t>
      </w:r>
      <w:r>
        <w:rPr>
          <w:rFonts w:ascii="Times New Roman" w:cs="Times New Roman" w:eastAsia="Times New Roman" w:hAnsi="Times New Roman"/>
          <w:sz w:val="19"/>
          <w:szCs w:val="19"/>
          <w:color w:val="231F20"/>
        </w:rPr>
        <w:t xml:space="preserve"> states have already implemented state laws addressing privacy or are set to enact data protection legislation. In addition, several states have enacted privacy laws to specifically regulate consumer health data that is not subject to HIPAA.</w:t>
      </w:r>
    </w:p>
    <w:p>
      <w:pPr>
        <w:spacing w:after="0" w:line="6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231F20"/>
        </w:rPr>
        <w:t>As the patchwork of state and federal U.S. privacy laws expands, enforcement of data privacy and cybersecurity breaches has increased, along with the cost (for example, the Federal Trade Commission increased enforcement of cybersecurity and data privacy, and related fines in 2025).</w:t>
      </w:r>
    </w:p>
    <w:p>
      <w:pPr>
        <w:spacing w:after="0" w:line="5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Outside the United States, personally identifiable information and other user data is increasingly subject to legislation and regulations in numerous jurisdictions around the world, the intent of which is to protect the privacy of information that is collected, processed and transmitted in or from the governing jurisdiction. Foreign data protection, privacy, information security, user protection and other laws and regulations are often more restrictive than those in the United States. For example, the General Data Protection Regulation (“GDPR”) adopted by the European legislative bodies applies to any company, regardless of location, that collects or processes personal data of EU residents in connection with offering goods or services in the European Union or monitoring the behavior of EU residents. The GDPR enhances data protection obligations for processors and controllers of personal data, including, for example, expanded disclosures about how personal information is to be used, limitations on retention of information, data minimization obligations, record-keeping requirements, mandatory data breach notification requirements, and correlated obligations on services providers. The GDPR also strictly regulates cross-border transfer of personal data, including requirements for data transfer impact assessments. Non-compliance with the GDPR may result in monetary penalties of up to €20 million or 4% of annual worldwide revenue, whichever is higher. Additionally, post-Brexit the United Kingdom has also adopted its own version of the GDPR.</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231F20"/>
        </w:rPr>
        <w:t>While we have taken steps to comply with all applicable privacy laws and regulations, including the GDPR, by taking measures including but not limited to enhancing our security procedures, updating our website, revising our clinical trial informed consents, adopting the standard contractual clauses for cross-border transfers of personal data, increasing our cyber insurance, developing policies governing the use of AI, and entering into data processing agreements with relevant CROs and third party partners, we cannot</w:t>
      </w:r>
    </w:p>
    <w:p>
      <w:pPr>
        <w:sectPr>
          <w:pgSz w:w="11880" w:h="15480" w:orient="portrait"/>
          <w:cols w:equalWidth="0" w:num="1">
            <w:col w:w="10460"/>
          </w:cols>
          <w:pgMar w:left="700" w:top="963" w:right="720" w:bottom="484" w:gutter="0" w:footer="0" w:header="0"/>
        </w:sectPr>
      </w:pPr>
    </w:p>
    <w:bookmarkStart w:id="65" w:name="page66"/>
    <w:bookmarkEnd w:id="65"/>
    <w:p>
      <w:pPr>
        <w:ind w:right="180"/>
        <w:spacing w:after="0" w:line="266" w:lineRule="auto"/>
        <w:rPr>
          <w:sz w:val="20"/>
          <w:szCs w:val="20"/>
          <w:color w:val="auto"/>
        </w:rPr>
      </w:pPr>
      <w:r>
        <w:rPr>
          <w:rFonts w:ascii="Times New Roman" w:cs="Times New Roman" w:eastAsia="Times New Roman" w:hAnsi="Times New Roman"/>
          <w:sz w:val="19"/>
          <w:szCs w:val="19"/>
          <w:color w:val="231F20"/>
        </w:rPr>
        <w:t>completely assure you that our efforts to remain in compliance will be fully successful. The GDPR and other changes in laws or regulations associated with the enhanced protection of personal data may increase our costs of compliance and result in greater legal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Foreign currency exchange rates may adversely affect our results.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231F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w:t>
      </w:r>
    </w:p>
    <w:p>
      <w:pPr>
        <w:spacing w:after="0" w:line="2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231F20"/>
        </w:rPr>
        <w:t>For the years ended December 31, 2025, 2024 and 2023, changes in foreign currency exchange rates did not have a material impact on our historical financial position, our business, our financial condition, the results of our operations or our cash flows. A hypothetical 10% change in foreign currency rates would not have a material impact on our historical financial position or results of operations. However, there can be no assurance that changes in foreign currency exchange rates will not have a material adverse impact on us in the future.</w:t>
      </w:r>
    </w:p>
    <w:p>
      <w:pPr>
        <w:spacing w:after="0" w:line="200" w:lineRule="exact"/>
        <w:rPr>
          <w:sz w:val="20"/>
          <w:szCs w:val="20"/>
          <w:color w:val="auto"/>
        </w:rPr>
      </w:pPr>
    </w:p>
    <w:p>
      <w:pPr>
        <w:spacing w:after="0" w:line="21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The U.S. tax legislation and future changes to applicable U.S. or foreign tax laws and regulations may have a material adverse effect on our business, financial condition and results of operations.</w:t>
      </w:r>
    </w:p>
    <w:p>
      <w:pPr>
        <w:spacing w:after="0" w:line="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We are subject to income and other taxes in the United States and foreign jurisdictions. Changes in laws and policy relating to taxes or trade, including increases in tax rates or modifications, technical corrections or clarifications to tax laws, such as the One Big Beautiful Bill Act of 2025 (“OBBBA”), which contained several pieces of tax legislation, some of which made permanent, and some of which reversed, certain of the significant U.S. tax law changes originally enacted in 2017 (under the legislation informally titled the Tax Cuts and Jobs Act). For example, the OBBBA reinstated immediate expensing of certain research and experimental research expenses incurred in tax years beginning after December 31, 2024 if incurred in the United States, though the requirement to amortize non -U.S. research and experimental expenses over 15 years remains unchanged. Any future changes may have an adverse effect on our business, financial condition and results of operations. This Annual Report on Form 10-K does not discuss any such tax legislation or changes to tax laws and legislation, or the manner in which it might affect us or purchasers of our securities. We urge our investors to consult with their legal and tax advisors with respect to such legislation and the potential tax consequences of investing in our securities.</w:t>
      </w:r>
    </w:p>
    <w:p>
      <w:pPr>
        <w:spacing w:after="0" w:line="3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We are also subject to different tax regulations in each of the jurisdictions where we conduct our business or where our management is located. We expect the scope and extent of regulation in the jurisdictions in which we conduct our business, or where our management is located, as well as regulatory oversight and supervision, to generally continue to increase. Generally, future changes in applicable U.S. or foreign tax laws and regulations, or their interpretation and application could have an adverse effect on our business, financial condition and results of operations.</w:t>
      </w:r>
    </w:p>
    <w:p>
      <w:pPr>
        <w:spacing w:after="0" w:line="1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9"/>
          <w:szCs w:val="19"/>
          <w:b w:val="1"/>
          <w:bCs w:val="1"/>
          <w:i w:val="1"/>
          <w:iCs w:val="1"/>
          <w:color w:val="231F20"/>
        </w:rPr>
        <w:t>Inadequate funding for the FDA, the SEC and other government agencies, or a work slowdown or stoppage at those agencies as part of a broader federal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231F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Future legislative and regulatory proposals may impact the ability of regulatory agencies to operate as they have historically operated. We cannot be sure whether additional legislative changes or executive orders will be enacted, or whether any of the regulations, guidances or interpretations of any such agencies will be changed, or what the impact of such changes, if any, may be.</w:t>
      </w:r>
    </w:p>
    <w:p>
      <w:pPr>
        <w:spacing w:after="0" w:line="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In addition, disruptions at the FDA and other agencies may also extend the time necessary for new drugs to be reviewed and/or approved by necessary government agencies, which would adversely affect our business. For example, political disputes in Congress may result in a shutdown of the U.S. government, and in such cases certain regulatory agencies, such as the FDA and the SEC, would have to furlough employees and stop critical activities during that period. Moreover, government shutdowns or slowdowns can increase the time needed for an agency to complete its review or make final approvals or other administrative decisions. If a prolonged government shutdown or slowdown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ectPr>
          <w:pgSz w:w="11880" w:h="15480" w:orient="portrait"/>
          <w:cols w:equalWidth="0" w:num="1">
            <w:col w:w="10460"/>
          </w:cols>
          <w:pgMar w:left="700" w:top="963" w:right="720" w:bottom="794"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9"/>
          <w:szCs w:val="19"/>
          <w:b w:val="1"/>
          <w:bCs w:val="1"/>
          <w:color w:val="231F20"/>
        </w:rPr>
        <w:t>Risks Related to Our Intellectual Property</w:t>
      </w:r>
    </w:p>
    <w:p>
      <w:pPr>
        <w:spacing w:after="0" w:line="239"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If we are not able to obtain and enforce market exclusivity for our technologies or product candidates, development and commercialization of our product candidates may be adversely affected.</w:t>
      </w:r>
    </w:p>
    <w:p>
      <w:pPr>
        <w:spacing w:after="0" w:line="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in-licenses of intellectual property rights of others, for our product candidates and platform technologies, methods used to manufacture our product candidates, methods of patient stratification and methods for treating patients using our product candidates, as well as our ability to preserve our trade secrets, to prevent third parties from infringing upon our proprietary rights and to operate without infringing upon the proprietary rights of others. Certain research and development activities involved in pharmaceutical development are exempt from patent infringement in the United States and other jurisdictions, for example, in the United States by the provisions of 35 U.S.C. § 271(e)(1) (the “Safe Harbor”). However, in the United States and certain other jurisdictions, the Safe Harbor exemption terminates when the sponsor submits an application for marketing approval (e.g., a NDA) in the United States). Therefore, the risk that a third party might allege patent infringement may increase as our products approach commercialization. We may not be able to apply for patents or obtain patent protection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30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231F20"/>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Particularly given that some of our product candidates may represent stereopure versions of previously described oligonucleotides, it may be difficult or impossible to obtain patent protection for them in relevant jurisdictions. Thus, in some countries and jurisdictions, it may not be possible to patent some of our product candidates at all. In some countries and jurisdictions, only composition claims may be obtained, and only when those compositions are or contain compounds that are new and/or novel. Also, patents issued with composition claims (</w:t>
      </w:r>
      <w:r>
        <w:rPr>
          <w:rFonts w:ascii="Times New Roman" w:cs="Times New Roman" w:eastAsia="Times New Roman" w:hAnsi="Times New Roman"/>
          <w:sz w:val="19"/>
          <w:szCs w:val="19"/>
          <w:i w:val="1"/>
          <w:iCs w:val="1"/>
          <w:color w:val="231F20"/>
        </w:rPr>
        <w:t>i.e.,</w:t>
      </w:r>
      <w:r>
        <w:rPr>
          <w:rFonts w:ascii="Times New Roman" w:cs="Times New Roman" w:eastAsia="Times New Roman" w:hAnsi="Times New Roman"/>
          <w:sz w:val="19"/>
          <w:szCs w:val="19"/>
          <w:color w:val="231F20"/>
        </w:rPr>
        <w:t xml:space="preserve"> covering product candidates) cannot always be enforced to protect methods of using those compositions to treat or diagnose diseases or medical conditions. In such countries or jurisdictions, enforcement of patents to protect our product candidates, or their uses, may be difficult or impossible. Lack of patent protection in such cases may have a materially adverse effect on our business and financial condition.</w:t>
      </w:r>
    </w:p>
    <w:p>
      <w:pPr>
        <w:spacing w:after="0" w:line="8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7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231F20"/>
        </w:rPr>
        <w:t>The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w:t>
      </w:r>
    </w:p>
    <w:p>
      <w:pPr>
        <w:sectPr>
          <w:pgSz w:w="11880" w:h="15480" w:orient="portrait"/>
          <w:cols w:equalWidth="0" w:num="1">
            <w:col w:w="10480"/>
          </w:cols>
          <w:pgMar w:left="700" w:top="961" w:right="700" w:bottom="492" w:gutter="0" w:footer="0" w:header="0"/>
        </w:sectPr>
      </w:pPr>
    </w:p>
    <w:bookmarkStart w:id="67" w:name="page68"/>
    <w:bookmarkEnd w:id="67"/>
    <w:p>
      <w:pPr>
        <w:ind w:right="260"/>
        <w:spacing w:after="0" w:line="253" w:lineRule="auto"/>
        <w:rPr>
          <w:sz w:val="20"/>
          <w:szCs w:val="20"/>
          <w:color w:val="auto"/>
        </w:rPr>
      </w:pPr>
      <w:r>
        <w:rPr>
          <w:rFonts w:ascii="Times New Roman" w:cs="Times New Roman" w:eastAsia="Times New Roman" w:hAnsi="Times New Roman"/>
          <w:sz w:val="19"/>
          <w:szCs w:val="19"/>
          <w:color w:val="231F20"/>
        </w:rPr>
        <w:t>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technologies. While we will endeavor to try to protect our product candidates and platform technology with intellectual property rights such as patents, as appropriate, the process of filing and prosecuting patent applications, and obtaining, maintaining and defending patents is time-consuming, expensive, uncertain, and sometimes unpredictable.</w:t>
      </w:r>
    </w:p>
    <w:p>
      <w:pPr>
        <w:spacing w:after="0" w:line="7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231F20"/>
        </w:rPr>
        <w:t xml:space="preserve">In addition, periodic changes to the patent laws and rules of patent offices around the world, including the USPTO can have a significant impact on our ability to protect our technology and enforce our intellectual property rights. For example, the America Invents Act, enacted in 2011, involved significant changes in patent legislation. Furthermore, the U.S. Supreme Court has ruled on several patent cases in recent years, some of which cases either narrow the scope of patent protection available in certain circumstances or weaken the rights of patent owners in certain situations. The 2013 decision by the U.S. Supreme Court in </w:t>
      </w:r>
      <w:r>
        <w:rPr>
          <w:rFonts w:ascii="Times New Roman" w:cs="Times New Roman" w:eastAsia="Times New Roman" w:hAnsi="Times New Roman"/>
          <w:sz w:val="19"/>
          <w:szCs w:val="19"/>
          <w:i w:val="1"/>
          <w:iCs w:val="1"/>
          <w:color w:val="231F20"/>
        </w:rPr>
        <w:t>Association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for Molecular Pathology v. Myriad Genetics, Inc. </w:t>
      </w:r>
      <w:r>
        <w:rPr>
          <w:rFonts w:ascii="Times New Roman" w:cs="Times New Roman" w:eastAsia="Times New Roman" w:hAnsi="Times New Roman"/>
          <w:sz w:val="19"/>
          <w:szCs w:val="19"/>
          <w:color w:val="231F20"/>
        </w:rPr>
        <w:t>precludes a claim to a nucleic acid having a stated nucleotide sequence which is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identical to a sequence found in nature and unmodified. We currently are not aware of an immediate impact of this decision on our patents or patent applications because we are developing oligonucleotides which contain modifications that we believe are not found in nature. However, we cannot make assurances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by analogous bodies around the world, the laws and regulations governing patents could change in unpredictable ways that would weaken our ability to obtain new patents or to enforce our existing patents and patents that we might obtain in the future. For example, in 2012, European countries and the European Parliament agreed to a legislative package that would create a unitary patent protection system in the EU; aspects of this system were implemented beginning in 2023 for at least some European countries. The impact of the proposed unitary patent protection system on patents in Europe is currently unclear.</w:t>
      </w:r>
    </w:p>
    <w:p>
      <w:pPr>
        <w:spacing w:after="0" w:line="31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231F20"/>
        </w:rPr>
        <w:t xml:space="preserve">Once granted, patents may remain open to opposition, interference, re-examination, post-grant review, </w:t>
      </w:r>
      <w:r>
        <w:rPr>
          <w:rFonts w:ascii="Times New Roman" w:cs="Times New Roman" w:eastAsia="Times New Roman" w:hAnsi="Times New Roman"/>
          <w:sz w:val="19"/>
          <w:szCs w:val="19"/>
          <w:i w:val="1"/>
          <w:iCs w:val="1"/>
          <w:color w:val="231F20"/>
        </w:rPr>
        <w:t>inter partes</w:t>
      </w:r>
      <w:r>
        <w:rPr>
          <w:rFonts w:ascii="Times New Roman" w:cs="Times New Roman" w:eastAsia="Times New Roman" w:hAnsi="Times New Roman"/>
          <w:sz w:val="19"/>
          <w:szCs w:val="19"/>
          <w:color w:val="231F20"/>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attacked or may lose the allowed or granted claims altogether. In addition, there can be no assurance that:</w:t>
      </w:r>
    </w:p>
    <w:p>
      <w:pPr>
        <w:spacing w:after="0" w:line="85" w:lineRule="exact"/>
        <w:rPr>
          <w:sz w:val="20"/>
          <w:szCs w:val="20"/>
          <w:color w:val="auto"/>
        </w:rPr>
      </w:pPr>
    </w:p>
    <w:p>
      <w:pPr>
        <w:ind w:left="1300" w:right="500" w:hanging="351"/>
        <w:spacing w:after="0" w:line="288" w:lineRule="auto"/>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Others will not or may not be able to make, use or sell compounds that are the same as or similar to our product candidates but that are not covered by the claims of the patents that we own or license.</w:t>
      </w:r>
    </w:p>
    <w:p>
      <w:pPr>
        <w:spacing w:after="0" w:line="49" w:lineRule="exact"/>
        <w:rPr>
          <w:rFonts w:ascii="Arial" w:cs="Arial" w:eastAsia="Arial" w:hAnsi="Arial"/>
          <w:sz w:val="19"/>
          <w:szCs w:val="19"/>
          <w:color w:val="231F20"/>
        </w:rPr>
      </w:pPr>
    </w:p>
    <w:p>
      <w:pPr>
        <w:ind w:left="1300" w:right="160" w:hanging="351"/>
        <w:spacing w:after="0" w:line="288" w:lineRule="auto"/>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or our licensors, collaborators or any future collaborators are the first to make the inventions covered by each of our issued patents and pending patent applications that we own or license.</w:t>
      </w:r>
    </w:p>
    <w:p>
      <w:pPr>
        <w:spacing w:after="0" w:line="51" w:lineRule="exact"/>
        <w:rPr>
          <w:rFonts w:ascii="Arial" w:cs="Arial" w:eastAsia="Arial" w:hAnsi="Arial"/>
          <w:sz w:val="19"/>
          <w:szCs w:val="19"/>
          <w:color w:val="231F20"/>
        </w:rPr>
      </w:pPr>
    </w:p>
    <w:p>
      <w:pPr>
        <w:ind w:left="1300" w:right="160" w:hanging="351"/>
        <w:spacing w:after="0" w:line="288" w:lineRule="auto"/>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or our licensors, collaborators or any future collaborators are the first to file patent applications covering certain aspects of our inventions.</w:t>
      </w:r>
    </w:p>
    <w:p>
      <w:pPr>
        <w:spacing w:after="0" w:line="51" w:lineRule="exact"/>
        <w:rPr>
          <w:rFonts w:ascii="Arial" w:cs="Arial" w:eastAsia="Arial" w:hAnsi="Arial"/>
          <w:sz w:val="19"/>
          <w:szCs w:val="19"/>
          <w:color w:val="231F20"/>
        </w:rPr>
      </w:pPr>
    </w:p>
    <w:p>
      <w:pPr>
        <w:ind w:left="1300" w:hanging="351"/>
        <w:spacing w:after="0" w:line="285" w:lineRule="auto"/>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Others will not independently develop similar or alternative technologies or duplicate any of our technologies without infringing our intellectual property rights.</w:t>
      </w:r>
    </w:p>
    <w:p>
      <w:pPr>
        <w:spacing w:after="0" w:line="55" w:lineRule="exact"/>
        <w:rPr>
          <w:rFonts w:ascii="Arial" w:cs="Arial" w:eastAsia="Arial" w:hAnsi="Arial"/>
          <w:sz w:val="19"/>
          <w:szCs w:val="19"/>
          <w:color w:val="231F20"/>
        </w:rPr>
      </w:pPr>
    </w:p>
    <w:p>
      <w:pPr>
        <w:ind w:left="1300" w:right="180" w:hanging="351"/>
        <w:spacing w:after="0" w:line="288" w:lineRule="auto"/>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A third party may not challenge, invalidate, circumvent or weaken our patents, or that, if any of these events should occur, that a court would hold that our patents are valid, enforceable and infringed.</w:t>
      </w:r>
    </w:p>
    <w:p>
      <w:pPr>
        <w:spacing w:after="0" w:line="51" w:lineRule="exact"/>
        <w:rPr>
          <w:rFonts w:ascii="Arial" w:cs="Arial" w:eastAsia="Arial" w:hAnsi="Arial"/>
          <w:sz w:val="19"/>
          <w:szCs w:val="19"/>
          <w:color w:val="231F20"/>
        </w:rPr>
      </w:pPr>
    </w:p>
    <w:p>
      <w:pPr>
        <w:ind w:left="1300" w:right="440" w:hanging="351"/>
        <w:spacing w:after="0" w:line="288" w:lineRule="auto"/>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Any issued patents that we own or have licensed will provide us with any competitive advantages, or will not be challenged, invalidated, circumvented or weakened by third parties.</w:t>
      </w:r>
    </w:p>
    <w:p>
      <w:pPr>
        <w:spacing w:after="0" w:line="51" w:lineRule="exact"/>
        <w:rPr>
          <w:rFonts w:ascii="Arial" w:cs="Arial" w:eastAsia="Arial" w:hAnsi="Arial"/>
          <w:sz w:val="19"/>
          <w:szCs w:val="19"/>
          <w:color w:val="231F20"/>
        </w:rPr>
      </w:pPr>
    </w:p>
    <w:p>
      <w:pPr>
        <w:ind w:left="1300" w:hanging="351"/>
        <w:spacing w:after="0"/>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develop additional proprietary technologies that are patentable.</w:t>
      </w:r>
    </w:p>
    <w:p>
      <w:pPr>
        <w:spacing w:after="0" w:line="132" w:lineRule="exact"/>
        <w:rPr>
          <w:rFonts w:ascii="Arial" w:cs="Arial" w:eastAsia="Arial" w:hAnsi="Arial"/>
          <w:sz w:val="19"/>
          <w:szCs w:val="19"/>
          <w:color w:val="231F20"/>
        </w:rPr>
      </w:pPr>
    </w:p>
    <w:p>
      <w:pPr>
        <w:ind w:left="1300" w:hanging="351"/>
        <w:spacing w:after="0"/>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The patents of others will not have an adverse effect on our business.</w:t>
      </w:r>
    </w:p>
    <w:p>
      <w:pPr>
        <w:spacing w:after="0" w:line="134" w:lineRule="exact"/>
        <w:rPr>
          <w:rFonts w:ascii="Arial" w:cs="Arial" w:eastAsia="Arial" w:hAnsi="Arial"/>
          <w:sz w:val="19"/>
          <w:szCs w:val="19"/>
          <w:color w:val="231F20"/>
        </w:rPr>
      </w:pPr>
    </w:p>
    <w:p>
      <w:pPr>
        <w:ind w:left="1300" w:right="40" w:hanging="351"/>
        <w:spacing w:after="0" w:line="266" w:lineRule="auto"/>
        <w:tabs>
          <w:tab w:leader="none" w:pos="130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7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9"/>
          <w:szCs w:val="19"/>
          <w:b w:val="1"/>
          <w:bCs w:val="1"/>
          <w:i w:val="1"/>
          <w:iCs w:val="1"/>
          <w:color w:val="231F20"/>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5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9"/>
          <w:szCs w:val="19"/>
          <w:color w:val="231F20"/>
        </w:rPr>
        <w:t>We license patent rights from third parties that we may use from time to time to protect certain aspects of our technology and programs. We may license additional third-party intellectual property in the future. To the extent that we use, and ultimately rely on, in-licensed technologies in our platform and our programs, our success will depend in part on the ability of our licensors to obtain, maintain and enforce patent protection for those in-licensed technologies. Our licensors may not successfully prosecute the patent</w:t>
      </w:r>
    </w:p>
    <w:p>
      <w:pPr>
        <w:sectPr>
          <w:pgSz w:w="11880" w:h="15480" w:orient="portrait"/>
          <w:cols w:equalWidth="0" w:num="1">
            <w:col w:w="10460"/>
          </w:cols>
          <w:pgMar w:left="700" w:top="963" w:right="720" w:bottom="542" w:gutter="0" w:footer="0" w:header="0"/>
        </w:sectPr>
      </w:pPr>
    </w:p>
    <w:bookmarkStart w:id="68" w:name="page69"/>
    <w:bookmarkEnd w:id="68"/>
    <w:p>
      <w:pPr>
        <w:ind w:right="80"/>
        <w:spacing w:after="0" w:line="251" w:lineRule="auto"/>
        <w:rPr>
          <w:sz w:val="20"/>
          <w:szCs w:val="20"/>
          <w:color w:val="auto"/>
        </w:rPr>
      </w:pPr>
      <w:r>
        <w:rPr>
          <w:rFonts w:ascii="Times New Roman" w:cs="Times New Roman" w:eastAsia="Times New Roman" w:hAnsi="Times New Roman"/>
          <w:sz w:val="19"/>
          <w:szCs w:val="19"/>
          <w:color w:val="231F20"/>
        </w:rPr>
        <w:t>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any future collaboration agreements we may enter into or result in termination of an agreement by one or more of our current or future collaborators or any future strategic partners.</w:t>
      </w:r>
    </w:p>
    <w:p>
      <w:pPr>
        <w:spacing w:after="0" w:line="1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Other companies or organizations may challenge our or our licensors’ patent rights or may assert patent rights that prevent us from developing and commercializing our products.</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The issued patents and pending patent applications in the United States and in key markets around the world that we own or license claim certain methods, compositions and processes relating to the discovery, development, manufacture and/or commercialization of oligonucleotides and/or our platform.</w:t>
      </w:r>
    </w:p>
    <w:p>
      <w:pPr>
        <w:spacing w:after="0" w:line="7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231F20"/>
        </w:rPr>
        <w:t>As the field of oligonucleotides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oligonucleotides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any of our product candidates or our platform. In addition, third parties may attempt to invalidate our intellectual property rights. Even if our rights are not directly challenged, invalidated or circumvented, disputes could lead to the weakening of our intellectual property rights. Our defense against any attempt by third parties to challenge, invalidate, circumvent or weaken our intellectual property rights could be costly to us, could require significant time and attention of our management and could adversely affect our business and our ability to successfully compete in the field of oligonucleotides.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not be able to protect our intellectual property rights throughout the world.</w:t>
      </w:r>
    </w:p>
    <w:p>
      <w:pPr>
        <w:spacing w:after="0" w:line="1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30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We generally file a provisional patent application first (a priority filing) at the USPTO. A Patent Cooperation Treaty (“PCT”) application is usually filed within 12 months after the priority filing. Regional and/or national patent applications may be pursued outside of the United States, either based on a PCT application or as a direct filing, in some cases claiming priority to a prior U.S. or PCT filing. Some of our cases have been filed in multiple jurisdictions, including major market jurisdictions.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different scopes of patent protection may be granted on the same product or technology.</w:t>
      </w:r>
    </w:p>
    <w:p>
      <w:pPr>
        <w:spacing w:after="0" w:line="3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231F20"/>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allowing competitors to manufacture and sell their own versions of our product, thereby reducing our sales. In</w:t>
      </w:r>
    </w:p>
    <w:p>
      <w:pPr>
        <w:sectPr>
          <w:pgSz w:w="11880" w:h="15480" w:orient="portrait"/>
          <w:cols w:equalWidth="0" w:num="1">
            <w:col w:w="10460"/>
          </w:cols>
          <w:pgMar w:left="700" w:top="963" w:right="720" w:bottom="590" w:gutter="0" w:footer="0" w:header="0"/>
        </w:sectPr>
      </w:pPr>
    </w:p>
    <w:bookmarkStart w:id="69" w:name="page70"/>
    <w:bookmarkEnd w:id="69"/>
    <w:p>
      <w:pPr>
        <w:ind w:right="40"/>
        <w:spacing w:after="0" w:line="255" w:lineRule="auto"/>
        <w:rPr>
          <w:sz w:val="20"/>
          <w:szCs w:val="20"/>
          <w:color w:val="auto"/>
        </w:rPr>
      </w:pPr>
      <w:r>
        <w:rPr>
          <w:rFonts w:ascii="Times New Roman" w:cs="Times New Roman" w:eastAsia="Times New Roman" w:hAnsi="Times New Roman"/>
          <w:sz w:val="19"/>
          <w:szCs w:val="19"/>
          <w:color w:val="231F20"/>
        </w:rPr>
        <w:t>addition, many countries do not permit enforcement of patents, or limit the enforceability of patents against government agencies or government contractors. In these countries, the patent owner may have limited remedies, which could materially diminish the value of such a patent. If we or any of our licensors, collaborators or present or future partners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7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The requirements for patentability may differ in certain countries. For example, some jurisdictions may have heightened requirements for patentability compared to others, and may specifically require a detailed description of medical uses of a claimed drug. In some jurisdictions,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Accordingly, our and our licensors’ and collaborators’ efforts to enforce intellectual property rights around the world may be inadequate to obtain a significant commercial advantage from the intellectual property that we own or license.</w:t>
      </w:r>
    </w:p>
    <w:p>
      <w:pPr>
        <w:spacing w:after="0" w:line="1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b w:val="1"/>
          <w:bCs w:val="1"/>
          <w:i w:val="1"/>
          <w:iCs w:val="1"/>
          <w:color w:val="231F20"/>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and time consuming, or delay or prevent the development and commercialization of our product candidates, or put our patents and other proprietary rights at risk.</w:t>
      </w:r>
    </w:p>
    <w:p>
      <w:pPr>
        <w:spacing w:after="0" w:line="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231F20"/>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written disclosure, obviousness, or non -enablement. Grounds for an unenforceability assertion could be an allegation that someone connected with prosecution of the patent withheld relevant information from the USPTO, or made a misleading statement, during prosecution. The outcome following legal allegations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193"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9"/>
          <w:szCs w:val="19"/>
          <w:b w:val="1"/>
          <w:bCs w:val="1"/>
          <w:i w:val="1"/>
          <w:iCs w:val="1"/>
          <w:color w:val="231F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5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9"/>
          <w:szCs w:val="19"/>
          <w:color w:val="231F20"/>
        </w:rPr>
        <w:t>Because the oligonucleotide intellectual property landscape is still evolving and our product candidates have not yet reached commercialization, it is difficult to conclusively assess our freedom to operate. There are numerous companies that have pending patent applications and issued patents directed to certain aspects of oligonucleotides. We are aware of third-party competitors in the oligonucleotide therapeutics space, whose patent filings and/or issued patents may include claims directed to targets and/or products related to some of our programs. It is possible that at the time that we commercialize our products these third-party patent portfolios may include issued patent claims that cover our products or critical features of their production or use. Our competitive position may suffer if patents issued to third parties or other third-party intellectual property rights cover, or may be alleged to cover, our products</w:t>
      </w:r>
    </w:p>
    <w:p>
      <w:pPr>
        <w:sectPr>
          <w:pgSz w:w="11880" w:h="15480" w:orient="portrait"/>
          <w:cols w:equalWidth="0" w:num="1">
            <w:col w:w="10460"/>
          </w:cols>
          <w:pgMar w:left="700" w:top="963" w:right="720" w:bottom="482" w:gutter="0" w:footer="0" w:header="0"/>
        </w:sectPr>
      </w:pPr>
    </w:p>
    <w:bookmarkStart w:id="70" w:name="page71"/>
    <w:bookmarkEnd w:id="70"/>
    <w:p>
      <w:pPr>
        <w:ind w:right="20"/>
        <w:spacing w:after="0" w:line="259" w:lineRule="auto"/>
        <w:rPr>
          <w:sz w:val="20"/>
          <w:szCs w:val="20"/>
          <w:color w:val="auto"/>
        </w:rPr>
      </w:pPr>
      <w:r>
        <w:rPr>
          <w:rFonts w:ascii="Times New Roman" w:cs="Times New Roman" w:eastAsia="Times New Roman" w:hAnsi="Times New Roman"/>
          <w:sz w:val="19"/>
          <w:szCs w:val="19"/>
          <w:color w:val="231F20"/>
        </w:rPr>
        <w:t>or elements thereof, or methods of manufacture or use relevant to our development plans. In such cases, we may not be in a position to develop or commercialize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It is also possible that we have failed to identify relevant third- 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date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9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If we fail to comply with our obligations under any license, collaboration or other agreement, we may be required to pay damages and could lose intellectual property rights that are necessary for developing and protecting our product candidates, or we could lose certain rights to grant sublicenses.</w:t>
      </w:r>
    </w:p>
    <w:p>
      <w:pPr>
        <w:spacing w:after="0" w:line="5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231F20"/>
        </w:rPr>
        <w:t>There are many issued patents and/or pending patent applications that claim aspects of oligonucleotide compositions, chemistry and/or modifications that we may want or need to apply to our product candidates. There are also many issued patents and/or pending patent applications that claim targeted genes or portions of genes that may be relevant for the oligonucleotides we wish to develop. We are aware of third-party competitors in the oligonucleotide therapeutics space whose patent filings and/or issued patents may include claims directed to targets and/or product candidates related to some of our development programs. It is possible that these third-party patent portfolios may include issued patent claims that cover our product candidates or critical features of their production or use. Thus, it is possible that one or more organizations will hold patent rights to which we will need or want a license. If those organizations refuse to grant us a license to such patent rights on reasonable terms, or at all, we may not be able to market products or perform research and development or other activities covered by these patents.</w:t>
      </w:r>
    </w:p>
    <w:p>
      <w:pPr>
        <w:spacing w:after="0" w:line="7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231F20"/>
        </w:rPr>
        <w:t>Our technology licenses and any future licenses we enter into are likely to impose various development, commercialization, funding, milestone, royalty, diligence, sublicensing, insurance, patent prosecution and enforcement, and/or other obligations on us. If we breach any of these imposed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If we are unable to protect the confidentiality of our trade secrets, our business and competitive position would be harmed.</w:t>
      </w:r>
    </w:p>
    <w:p>
      <w:pPr>
        <w:spacing w:after="0" w:line="11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231F20"/>
        </w:rPr>
        <w:t>In addition to seeking patent protection for certain aspects of our product candidates, we also consider trade secrets, including confidential and unpatented know -how, improvements and technological innovation important to the maintenance of our competitive position. We protect trade secrets and confidential and unpatented know -how, improvements and technological innovation,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ectPr>
          <w:pgSz w:w="11880" w:h="15480" w:orient="portrait"/>
          <w:cols w:equalWidth="0" w:num="1">
            <w:col w:w="10480"/>
          </w:cols>
          <w:pgMar w:left="700" w:top="963" w:right="700" w:bottom="492" w:gutter="0" w:footer="0" w:header="0"/>
        </w:sectPr>
      </w:pPr>
    </w:p>
    <w:bookmarkStart w:id="71" w:name="page72"/>
    <w:bookmarkEnd w:id="71"/>
    <w:p>
      <w:pPr>
        <w:jc w:val="both"/>
        <w:ind w:right="40"/>
        <w:spacing w:after="0" w:line="265" w:lineRule="auto"/>
        <w:rPr>
          <w:sz w:val="20"/>
          <w:szCs w:val="20"/>
          <w:color w:val="auto"/>
        </w:rPr>
      </w:pPr>
      <w:r>
        <w:rPr>
          <w:rFonts w:ascii="Times New Roman" w:cs="Times New Roman" w:eastAsia="Times New Roman" w:hAnsi="Times New Roman"/>
          <w:sz w:val="19"/>
          <w:szCs w:val="19"/>
          <w:b w:val="1"/>
          <w:bCs w:val="1"/>
          <w:i w:val="1"/>
          <w:iCs w:val="1"/>
          <w:color w:val="231F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231F20"/>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Our trademarks or trade names may be infringed, challenged, invalidated, circumvented, weakened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Risks Related to Our Being a Singapore Company</w:t>
      </w:r>
    </w:p>
    <w:p>
      <w:pPr>
        <w:spacing w:after="0" w:line="23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are a Singapore incorporated company and it may be difficult to enforce a judgment of U.S. courts for civil liabilities under U.S. federal securities laws against us, our directors or our officers in Singapore.</w:t>
      </w:r>
    </w:p>
    <w:p>
      <w:pPr>
        <w:spacing w:after="0" w:line="4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9"/>
          <w:szCs w:val="19"/>
          <w:color w:val="231F20"/>
        </w:rPr>
        <w:t>We are incorporated under the laws of the Republic of Singapore, and certain of our directors are residents outside the United States. Moreover, a significant portion of our consolidated assets are located outside the United States. Although we are incorporated outside the United States, we have agreed to accept service of process in the United States through our agent designated for that purpose.</w:t>
      </w:r>
    </w:p>
    <w:p>
      <w:pPr>
        <w:spacing w:after="0" w:line="3"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9"/>
          <w:szCs w:val="19"/>
          <w:color w:val="231F20"/>
        </w:rPr>
        <w:t>Nevertheless, because a majority of the consolidated assets owned by us are located outside the United States, any judgment obtained in the United States against us may not be enforceable within the United States.</w:t>
      </w:r>
    </w:p>
    <w:p>
      <w:pPr>
        <w:spacing w:after="0" w:line="6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There is uncertainty as to whether judgments of courts in the United States based upon the civil liability provisions of the federal securities laws of the United States would be recognized or enforceable in Singapore. In addition, holders of book-entry interests in our shares will be required to be registered shareholders as reflected in our shareholder register in order to have standing to bring a shareholder action in the United States and, if successful, to enforce a foreign judgment against us, our directors or our executive officers in the Singapore courts. The administrative process of becoming a registered holder could result in delays prejudicial to any 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w:t>
      </w:r>
    </w:p>
    <w:p>
      <w:pPr>
        <w:spacing w:after="0" w:line="1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are incorporated in Singapore and our shareholders may have more difficulty in protecting their interests than they would as shareholders of a corporation incorporated in the United States.</w:t>
      </w:r>
    </w:p>
    <w:p>
      <w:pPr>
        <w:spacing w:after="0" w:line="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Our corporate affairs are governed by our constitution and by the laws governing corporations incorporated in Singapore. The rights of our shareholders and the responsibilities of the members of our Board of Directors (“Board”)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or our principal shareholders than they would as shareholders of a corporation incorporated in the United States.</w:t>
      </w:r>
    </w:p>
    <w:p>
      <w:pPr>
        <w:spacing w:after="0" w:line="3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231F20"/>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w:t>
      </w:r>
    </w:p>
    <w:p>
      <w:pPr>
        <w:sectPr>
          <w:pgSz w:w="11880" w:h="15480" w:orient="portrait"/>
          <w:cols w:equalWidth="0" w:num="1">
            <w:col w:w="10480"/>
          </w:cols>
          <w:pgMar w:left="700" w:top="965" w:right="700" w:bottom="453" w:gutter="0" w:footer="0" w:header="0"/>
        </w:sectPr>
      </w:pPr>
    </w:p>
    <w:bookmarkStart w:id="72" w:name="page73"/>
    <w:bookmarkEnd w:id="72"/>
    <w:p>
      <w:pPr>
        <w:ind w:right="880"/>
        <w:spacing w:after="0" w:line="286" w:lineRule="auto"/>
        <w:rPr>
          <w:sz w:val="20"/>
          <w:szCs w:val="20"/>
          <w:color w:val="auto"/>
        </w:rPr>
      </w:pPr>
      <w:r>
        <w:rPr>
          <w:rFonts w:ascii="Times New Roman" w:cs="Times New Roman" w:eastAsia="Times New Roman" w:hAnsi="Times New Roman"/>
          <w:sz w:val="19"/>
          <w:szCs w:val="19"/>
          <w:color w:val="231F20"/>
        </w:rPr>
        <w:t>shareholder register. Such process could result in administrative delays which may be prejudicial to any legal proceeding or enforcement 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are subject to the laws of Singapore, which differ in certain material respects from the laws of the United States.</w:t>
      </w:r>
    </w:p>
    <w:p>
      <w:pPr>
        <w:spacing w:after="0" w:line="11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9"/>
          <w:szCs w:val="19"/>
          <w:color w:val="231F20"/>
        </w:rPr>
        <w:t>As a company incorporated under the laws of the Republic of Singapore, we are required to comply with the laws of Singapore, certain of which are capable of extra-territorial application, as well as our constitution. In particular, we are required to comply with certain provisions of the Securities and Futures Act 2001 of Singapore (the “SFA”), which prohibit certain forms of market conduct and require certain information disclosures, and impose criminal and civil penalties on corporations, directors and officers in respect of any breach of such provisions. We are required to comply with the Singapore Code on Take-Overs and Mergers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7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We are also subject to Section 34 of the Singapore Patents Act, which provides that a person residing in Singapore is required to obtain written authorization from the Singapore Registrar of Patents (the “Registrar”) before filing an application for a patent for an invention outside of Singapore, unless certain conditions have been satisfied. A violation of Section 34 is a criminal offense punishable by a fine not exceeding S$5,000, or imprisonment for a term not exceeding two years, or both. There have been some instances where we have undertaken filings outside of Singapore, and there may be instances where we are required to make such filings in the future, without first obtaining written authorization from the Registrar. We have notified the Registrar of such filings and we have since implemented measures to address the requirements of Section 34 moving forward. To date, the Registrar has offered a compound of some of the offences considered against payment of a sum of S$50 to S$150 per considered case. Under Singapore law, the Registrar has discretion to offer a compound of such offences against payment of a sum of money of up to S$2,500, or to prosecute the offence subject to the other penalties noted above. Per requests in the Registrar’s most recent decision, we have submitted approximately 140 patent applications in multiple patent families, most of which are related to previously reported applications, to the Intellectual Property Office of Singapore (“IPOS”). The IPOS may consider the filing of some or all of these applications to have breached Section 34 requirements per IPOS’ current interpretation of Section 34, and we are waiting for IPOS’ decision on these applications. We cannot assure you that the Registrar will offer to compound any such violations of Section 34, or that any offer to compound will be for an amount similar to previous compound offers.</w:t>
      </w:r>
    </w:p>
    <w:p>
      <w:pPr>
        <w:spacing w:after="0" w:line="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231F20"/>
        </w:rPr>
        <w:t>The laws of Singapore and of the United States differ in certain significant respects. The rights of our shareholders and the obligations of our directors and officers under Singapore law (including under the Companies Act 1967 of Singapore (the “Singapore Companies Act”) are different from those applicable to a company incorporated in the State of Delaware in material respects, and our shareholders may have more difficulty and less clarity in protecting their interests in connection with actions taken by our management, members of our Board or our affiliated shareholders than would otherwise apply to a company incorporated in the State of Delaware.</w:t>
      </w:r>
    </w:p>
    <w:p>
      <w:pPr>
        <w:spacing w:after="0" w:line="29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231F20"/>
        </w:rPr>
        <w:t>The application of Singapore law, in particular, the Singapore Companies Act may, in certain circumstances, impose more restrictions on us and our shareholders, directors and officers than would otherwise be applicable to a company incorporated in the State of 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the original requisitioning shareholders, or any of them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such corresponding amounts from fees or other remuneration payable by us to such non-complying directors.</w:t>
      </w:r>
    </w:p>
    <w:p>
      <w:pPr>
        <w:spacing w:after="0" w:line="19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5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(Singapore dollars) or more. For example, under the Singapore Takeover Code, any person acquiring, whether by a series of transactions over a period of time or not, either on its own or together with parties acting in concert with it, 30% or more of our voting shares, or if such person holds, either on its own or together with parties acting in concert with it, between 30% and 50% (both inclusive) of our voting shares, and if such person (or parties acting in concert with it)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ectPr>
          <w:pgSz w:w="11880" w:h="15480" w:orient="portrait"/>
          <w:cols w:equalWidth="0" w:num="1">
            <w:col w:w="10480"/>
          </w:cols>
          <w:pgMar w:left="700" w:top="963" w:right="700" w:bottom="597" w:gutter="0" w:footer="0" w:header="0"/>
        </w:sectPr>
      </w:pPr>
    </w:p>
    <w:bookmarkStart w:id="73" w:name="page74"/>
    <w:bookmarkEnd w:id="73"/>
    <w:p>
      <w:pPr>
        <w:ind w:right="80"/>
        <w:spacing w:after="0" w:line="266" w:lineRule="auto"/>
        <w:rPr>
          <w:sz w:val="20"/>
          <w:szCs w:val="20"/>
          <w:color w:val="auto"/>
        </w:rPr>
      </w:pPr>
      <w:r>
        <w:rPr>
          <w:rFonts w:ascii="Times New Roman" w:cs="Times New Roman" w:eastAsia="Times New Roman" w:hAnsi="Times New Roman"/>
          <w:sz w:val="19"/>
          <w:szCs w:val="19"/>
          <w:color w:val="231F20"/>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231F20"/>
        </w:rPr>
        <w:t>On May 5, 2025, the Securities Industry Council ("SIC") published a consultation paper seeking feedback on proposed amendments to the Singapore Takeover Code (the consultation exercise, the "Consultation"). The Consultation had closed on June 5, 2025. As at the date of this Annual Report on Form 10-K, the SIC has not published the conclusions of the Consultation, nor provided any indication as to when the conclusions of the Consultation would be available. Accordingly, please note that there may be further amendments to the provisions of the Singapore Takeover Code after the date of this Annual Report on Form 10-K. Investors and/or shareholders should consult their own legal advisers and obtain specific legal advice in respect of their rights under the Singapore Takeover Code.</w:t>
      </w:r>
    </w:p>
    <w:p>
      <w:pPr>
        <w:spacing w:after="0" w:line="1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For a limited period of time, our directors have general authority to allot and issue new ordinary shares on terms and conditions and for such purposes as may be determined by our Board in its sole discretion.</w:t>
      </w:r>
    </w:p>
    <w:p>
      <w:pPr>
        <w:spacing w:after="0" w:line="4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231F20"/>
        </w:rPr>
        <w:t>Under Singapore law, we may only allot and issue new shares with the prior approval of our shareholders in a general meeting. At our most recent annual general meeting of shareholders, our shareholders provided our directors with a general authority, subject to the provisions of the Singapore Companies Act and our constitution, to allot and issue any number of new ordinary shares and/or make or grant offers, agreements, options or other instruments (including the grant of awards or options pursuant to our equity- based incentive plans and agreements in effect from time to time) that might or would require ordinary shares to be allotted and issued (collectively, the “Instruments”); and unless revoked or varied by us in a general meeting, such authority will continue in force until the earlier of (i) the conclusion of our next annual general meeting of shareholders, or (ii) the expiration of the period within which our next annual general meeting of shareholders is required by law to be held. Subject to the general requirements of the Singapore Companies Act and our constitution, the general authority given to our directors by our shareholders to allot and issue ordinary shares and/or make or grant the Instruments may be exercised by our directors on such terms and conditions, for such purposes and for consideration as they may in their sole discretion deem fit, and with such rights or restrictions as they may think fit to impose and as are set forth in our constitution. Any additional issuances of new ordinary shares and/or any grant of the Instruments by our directors may dilute our shareholders’ interests in our ordinary shares and/or adversely impact the market price of our ordinary shares.</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may be or become a passive foreign investment company, which could result in adverse U.S. federal income tax consequences to U.S. Holders.</w:t>
      </w:r>
    </w:p>
    <w:p>
      <w:pPr>
        <w:spacing w:after="0" w:line="4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The rules governing passive foreign investment companies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which must be made annually after the close of each taxable year,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Moreover, our ability to earn specific types of income that we currently treat as non-passive for purposes of the PFIC rules is uncertain with respect to future years. Based on our gross income, the average value of our assets, including goodwill and the nature of our active business, we do not expect to be treated as a PFIC for U.S. federal income tax purposes for the taxable year ended December 31, 2025. Because the value of our assets for purposes of determining PFIC status will depend in part on the market price of our ordinary shares, which may fluctuate significantly, there can be no assurance that we will not be considered a PFIC for our current taxable year ending December 31, 2026 or for any future taxable year.</w:t>
      </w:r>
    </w:p>
    <w:p>
      <w:pPr>
        <w:spacing w:after="0" w:line="83" w:lineRule="exact"/>
        <w:rPr>
          <w:sz w:val="20"/>
          <w:szCs w:val="20"/>
          <w:color w:val="auto"/>
        </w:rPr>
      </w:pPr>
    </w:p>
    <w:p>
      <w:pPr>
        <w:ind w:right="20" w:firstLine="1"/>
        <w:spacing w:after="0" w:line="248" w:lineRule="auto"/>
        <w:rPr>
          <w:sz w:val="20"/>
          <w:szCs w:val="20"/>
          <w:color w:val="auto"/>
        </w:rPr>
      </w:pPr>
      <w:r>
        <w:rPr>
          <w:rFonts w:ascii="Times New Roman" w:cs="Times New Roman" w:eastAsia="Times New Roman" w:hAnsi="Times New Roman"/>
          <w:sz w:val="19"/>
          <w:szCs w:val="19"/>
          <w:color w:val="231F20"/>
        </w:rPr>
        <w:t>If we are a PFIC, a U.S. Holder (defined below)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(“QEF”) or, if shares of the PFIC are “marketable stock” for purposes of the PFIC rules, by making a mark-to-market election with respect to the shares of the PFIC. If a U.S. Holder makes a mark-to-market election with respect to its ordinary shares, the U.S. Holder is required to include annually in its U.S. federal taxable income an amount reflecting any year end increase in the value of its ordinary shares. For purposes of this discussion, a “U.S. Holder” is a beneficial owner of ordinary shares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(a) if a court within the United States can exercise primary supervision over its administration, and one or more U.S. persons have the authority to control all of the substantial decisions of that trust, or (b) that was in existence on August 20, 1996, and validly elected under applicable Treasury Regulations to continue to be treated as a domestic trust.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Investors should consult their own tax advisors regarding all aspects of the application of the PFIC rules to the ordinary shares.</w:t>
      </w:r>
    </w:p>
    <w:p>
      <w:pPr>
        <w:sectPr>
          <w:pgSz w:w="11880" w:h="15480" w:orient="portrait"/>
          <w:cols w:equalWidth="0" w:num="1">
            <w:col w:w="10480"/>
          </w:cols>
          <w:pgMar w:left="700" w:top="963" w:right="700" w:bottom="861"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b w:val="1"/>
          <w:bCs w:val="1"/>
          <w:i w:val="1"/>
          <w:iCs w:val="1"/>
          <w:color w:val="231F20"/>
        </w:rPr>
        <w:t>Singapore taxes may differ from the tax laws of other jurisdictions.</w:t>
      </w:r>
    </w:p>
    <w:p>
      <w:pPr>
        <w:spacing w:after="0" w:line="11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9"/>
          <w:szCs w:val="19"/>
          <w:color w:val="231F20"/>
        </w:rPr>
        <w:t>Prospective investors should consult their tax advisors concerning the overall tax consequences of purchasing, owning and disposing of our shares. Singapore tax law may differ from the tax laws of other jurisdictions, including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become subject to unanticipated tax liabilities.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231F20"/>
        </w:rPr>
        <w:t>We are incorporated under the laws of Singapore. Under Singapore tax law, from January 1, 2024, subject to certain exceptions, gains from the sale or disposal by an entity without adequate economic substance and belonging to a relevant group of entities, of any movable or immovable property situated outside Singapore and that are received in Singapore from outside Singapore, are treated as income chargeable to tax. We are also subject to income, withholding or other taxes in certain jurisdictions by reason of our activities and operations, and it is also possible that tax authorities in any such jurisdictions could assert that we are subject to greater taxation than we currently anticipate.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Any such Singaporean and non-Singaporean tax liability could materially adversely affect our results of operations.</w:t>
      </w:r>
    </w:p>
    <w:p>
      <w:pPr>
        <w:spacing w:after="0" w:line="24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Tax authorities could challenge the allocation of income and deductions among our subsidiaries, which could increase our overall tax liability.</w:t>
      </w:r>
    </w:p>
    <w:p>
      <w:pPr>
        <w:spacing w:after="0" w:line="3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9"/>
          <w:szCs w:val="19"/>
          <w:color w:val="231F20"/>
        </w:rPr>
        <w:t>We are organized in Singapore, and we currently have subsidiaries in the United States, Japan, the United Kingdom, and Ireland. As we grow our business, we conduct, and expect to continue to conduct, increased operations through our subsidiaries in various jurisdictions. If two or more affiliated companies are located in different jurisdictions, the tax laws or regulations of each country generally will require transactions between those affiliated companies to be conducted on terms consistent with those between unrelated companies dealing at arms’ length, and appropriate documentation generally must be maintained to support the transfer prices. We maintain our transfer pricing policies to be compliant with applicable transfer pricing laws, but our transfer pricing procedures are not binding on applicable tax authorities.</w:t>
      </w:r>
    </w:p>
    <w:p>
      <w:pPr>
        <w:spacing w:after="0" w:line="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If tax authorities were to successfully challenge our transfer pricing, there could be an increase in our overall tax liability, which could adversely affect our financial condition, results of operations and cash flows. In addition, the tax laws in the jurisdictions in which we operate are subject to differing interpretations. Tax authorities may challenge our tax positions, and if successful, such challenges could increase our overall tax liability. In addition, the tax laws in the jurisdictions in which we operate are subject to change. We cannot predict the timing or content of such potential changes, and such changes could increase our overall tax liability, which could adversely affect our financial condition, results of operations and cash flows.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9"/>
          <w:szCs w:val="19"/>
          <w:b w:val="1"/>
          <w:bCs w:val="1"/>
          <w:i w:val="1"/>
          <w:iCs w:val="1"/>
          <w:color w:val="231F20"/>
        </w:rPr>
        <w:t>Our financial results reflect the effect of certain tax credits and the operation of certain tax regimes within the United Kingdom. Recent changes to the U.K. research and development tax credit regime will reduce the amount of tax credits we can claim and impose new limitations, which could impact our financial condition, results of operations and cash flows.</w:t>
      </w:r>
    </w:p>
    <w:p>
      <w:pPr>
        <w:spacing w:after="0" w:line="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As a company carrying out extensive research and development activities, we have historically benefited from the U.K. research and development tax credit regime. For accounting periods that began prior to April 1, 2024, our subsidiary in the United Kingdom qualified under the Small and Medium-sized Enterprise (“SME”) R&amp;D tax credit regime, which allowed us to surrender our U.K. subsidiary’s trading losses from qualifying research and development activities for a payable tax credit of generally up to 18.6% of such expenditures. Expenditures of staff supplied by unconnected third parties incurred were eligible for a payable tax credit of generally up to 12.1%. Our payable tax credit amounts were historically capped at an amount that was equal to three times our “pay as you earn” (or PAYE) and U.K. national insurance tax liabilities.</w:t>
      </w:r>
    </w:p>
    <w:p>
      <w:pPr>
        <w:spacing w:after="0" w:line="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231F20"/>
        </w:rPr>
        <w:t>Effective for accounting periods beginning on or after April 1, 2024, the U.K. Finance Act 2024 combined the previous SME regime and the large- company R&amp;D credit regime (known as the “RDEC” regime) into one unified R&amp;D tax credit regime. Under this merged R&amp;D credit regime, all companies (regardless of size) may claim a tax credit equal to 20% of qualifying research and development expenditures, with a net benefit of up to 16.2% after tax.</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231F20"/>
        </w:rPr>
        <w:t>In addition to changing the credit rates, the U.K. legislation tightened the rules on eligible R&amp;D expenditures, which may further limit the amount of credit we can claim. For accounting periods beginning on or after April 1, 2024, R&amp;D credit claims are subject to new restrictions on costs related to overseas subcontracted R&amp;D work and externally provided R&amp;D workers. To be eligible for the tax credit, any subcontracted R&amp;D activities generally must be performed in the United Kingdom. R&amp;D activities or workers outside the United Kingdom are largely excluded from creditable expenditures, unless they fall within an exception. These new rules mean that certain R&amp;D costs we incur overseas may no longer qualify for U.K. tax credits going forward.</w:t>
      </w:r>
    </w:p>
    <w:p>
      <w:pPr>
        <w:sectPr>
          <w:pgSz w:w="11880" w:h="15480" w:orient="portrait"/>
          <w:cols w:equalWidth="0" w:num="1">
            <w:col w:w="10440"/>
          </w:cols>
          <w:pgMar w:left="700" w:top="965" w:right="7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9"/>
          <w:szCs w:val="19"/>
          <w:b w:val="1"/>
          <w:bCs w:val="1"/>
          <w:color w:val="231F20"/>
        </w:rPr>
        <w:t>Risks Related to Our Ordinary Shares</w:t>
      </w:r>
    </w:p>
    <w:p>
      <w:pPr>
        <w:spacing w:after="0" w:line="2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The public market for our ordinary shares may not be liquid enough for our shareholders to sell their ordinary shares quickly or at market price, or at all.</w:t>
      </w:r>
    </w:p>
    <w:p>
      <w:pPr>
        <w:spacing w:after="0" w:line="4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color w:val="231F20"/>
        </w:rPr>
        <w:t>Our ordinary shares are currently listed for trading on the Nasdaq Global Market. There is no assurance that the trading market for our shares will be or remain active. Our shareholders may not be able to sell their ordinary shares quickly or at the market price, or at all. Our executive officers, our directors and their respective affiliates, and our other significant shareholders beneficially own a significant portion of our outstanding ordinary shares, and therefore, liquidity in our ordinary shares is limited. Due to the limited liquidity in our ordinary shares, relatively small orders can have a disproportionate impact on the trading price of our shares. Further, the limited liquidity in our ordinary shares may also impair our ability to raise capital by conducting offerings of our ordinary shares and may impair our ability to enter into strategic partnerships or acquire companies or products by using our ordinary shares as consideration.</w:t>
      </w:r>
    </w:p>
    <w:p>
      <w:pPr>
        <w:spacing w:after="0" w:line="200" w:lineRule="exact"/>
        <w:rPr>
          <w:sz w:val="20"/>
          <w:szCs w:val="20"/>
          <w:color w:val="auto"/>
        </w:rPr>
      </w:pPr>
    </w:p>
    <w:p>
      <w:pPr>
        <w:spacing w:after="0" w:line="221"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The market price of our ordinary shares is likely to be highly volatile, and our shareholders may lose some or all of their investment.</w:t>
      </w:r>
    </w:p>
    <w:p>
      <w:pPr>
        <w:spacing w:after="0" w:line="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231F20"/>
        </w:rPr>
        <w:t>The market price of our ordinary shares is likely to continue to be highly volatile, including in response to factors that are beyond our control. The stock market in general experiences extreme price and volume fluctuations. In particular, the market prices of securities of pharmaceutical and biotechnology companies are extremely volatile, and experience fluctuations that are often unrelated or disproportionate to the operating performance of these companies. These broad and sector-specific market fluctuations can result in extreme fluctuations in the price of our ordinary shares, regardless of our operating performance, and can cause our shareholders to lose some or all of their investment in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have issued pre-funded warrants in certain of our financings, which may cause additional dilution to our shareholders.</w:t>
      </w:r>
    </w:p>
    <w:p>
      <w:pPr>
        <w:spacing w:after="0" w:line="11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231F20"/>
        </w:rPr>
        <w:t>In several of our financings beginning in June 2022, we issued and sold ordinary shares and, in some instances, in lieu of additional ordinary shares, pre-funded warrants (the “Pre-Funded Warrants”) to purchase ordinary shares at an exercise price of $0.0001 per share. The Pre-Funded Warrants contain a so-called “blocker” provision which provides that they are only exercisable upon receipt of shareholder approval or if such exercise would not cause the aggregate number of ordinary shares or the combined voting power of total securities, in each case, beneficially owned by the holder (together with its affiliates) to exceed, depending on the terms of the applicable Pre-Funded Warrants and in certain cases at the election of the holder, either 4.99%, 9.99% or 19.99% of the number of ordinary shares or total securities, respectively, outstanding immediately after giving effect to the exercise. To the extent the Pre-Funded Warrants are exercised, additional ordinary shares will be issued and such issuance would dilute existing shareholders and increase the number of shares eligible for resale in the public market.</w:t>
      </w:r>
    </w:p>
    <w:p>
      <w:pPr>
        <w:spacing w:after="0" w:line="196"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9"/>
          <w:szCs w:val="19"/>
          <w:b w:val="1"/>
          <w:bCs w:val="1"/>
          <w:i w:val="1"/>
          <w:iCs w:val="1"/>
          <w:color w:val="231F20"/>
        </w:rPr>
        <w:t>Our principal shareholders and management own a significant percentage of our ordinary shares and will be able to exert significant control over matters subject to shareholder approval.</w:t>
      </w:r>
    </w:p>
    <w:p>
      <w:pPr>
        <w:spacing w:after="0" w:line="4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231F20"/>
        </w:rPr>
        <w:t>Based on information publicly available to us as of December 31, 2025, our executive officers, our directors and their respective affiliates, and our other significant shareholders beneficially own a significant portion of our outstanding ordinary shares. As a result, 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the interests of our other shareholders. For example, these shareholders could delay or prevent a change of control of our company, even if such a change of control would benefit our other shareholders, which could deprive shareholders of an opportunity to receive a premium for their ordinary shares as part of a sale of our company or our assets and might affect the prevailing market price of our ordinary shares. The significant concentration of share ownership may adversely affect the trading price of our ordinary shares due to investors’ perception that conflicts of interest may exist or arise.</w:t>
      </w:r>
    </w:p>
    <w:p>
      <w:pPr>
        <w:spacing w:after="0" w:line="1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We incur significant costs due to operating as a public company, and our management is required to devote substantial time to compliance initiatives.</w:t>
      </w:r>
    </w:p>
    <w:p>
      <w:pPr>
        <w:spacing w:after="0" w:line="41"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9"/>
          <w:szCs w:val="19"/>
          <w:color w:val="231F20"/>
        </w:rPr>
        <w:t>As a public company, we incur significant legal, accounting and other expenses. We are subject to the reporting and other requirements of the Exchange Act, the Sarbanes-Oxley Act of 2002 (the “Sarbanes-Oxley Act”), and the Dodd-Frank Wall Street Reform and Protection Act, as well as rules subsequently adopted by the SEC and the Nasdaq Stock Market. These rules and regulations require, among other things, that we file annual, quarterly and current reports with respect to our business and financial condition and establish and maintain effective disclosure and financial controls and corporate governance practices. We expect that compliance with these rules and regulations will continue to result in substantial legal and financial compliance costs and will make some activities more time-consuming and costly. Our management and other personnel devote a substantial amount of time to these compliance requirements.</w:t>
      </w:r>
    </w:p>
    <w:p>
      <w:pPr>
        <w:sectPr>
          <w:pgSz w:w="11880" w:h="15480" w:orient="portrait"/>
          <w:cols w:equalWidth="0" w:num="1">
            <w:col w:w="10480"/>
          </w:cols>
          <w:pgMar w:left="700" w:top="961" w:right="700" w:bottom="785" w:gutter="0" w:footer="0" w:header="0"/>
        </w:sectPr>
      </w:pPr>
    </w:p>
    <w:bookmarkStart w:id="76" w:name="page77"/>
    <w:bookmarkEnd w:id="76"/>
    <w:p>
      <w:pPr>
        <w:ind w:right="160"/>
        <w:spacing w:after="0" w:line="284" w:lineRule="auto"/>
        <w:rPr>
          <w:sz w:val="20"/>
          <w:szCs w:val="20"/>
          <w:color w:val="auto"/>
        </w:rPr>
      </w:pPr>
      <w:r>
        <w:rPr>
          <w:rFonts w:ascii="Times New Roman" w:cs="Times New Roman" w:eastAsia="Times New Roman" w:hAnsi="Times New Roman"/>
          <w:sz w:val="19"/>
          <w:szCs w:val="19"/>
          <w:b w:val="1"/>
          <w:bCs w:val="1"/>
          <w:i w:val="1"/>
          <w:iCs w:val="1"/>
          <w:color w:val="231F20"/>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4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231F20"/>
        </w:rPr>
        <w:t>We are required to comply with Section 404 of the Sarbanes-Oxley Act. Section 404 of the Sarbanes-Oxley Act requires public companies to maintain effective internal control over financial reporting. In particular, we must perform system and process evaluation and testing of our internal control over financial reporting to allow management to report on the effectiveness of our internal control over financial reporting. Ensuring that we have adequate internal financial and accounting controls and procedures in place so that we can produce accurate financial statements on a timely basis is a costly and time -consuming effort that is evaluated frequently. If we fail to maintain the effectiveness of our internal controls or fail to comply in a timely manner with the requirements of the Sarbanes-Oxley Act, or if we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ordinary shares and we could be subject to sanctions or investigations by Nasdaq,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231F20"/>
        </w:rPr>
        <w:t>Our ability to successfully implement our business plan and comply with Section 404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independent registered public accounting firm as required under Section 404 of the Sarbanes- Oxley Act. This, in turn, could have an adverse impact on trading prices for our ordinary shares, and could adversely affect our ability to access the capital markets.</w:t>
      </w:r>
    </w:p>
    <w:p>
      <w:pPr>
        <w:spacing w:after="0" w:line="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Although we determined that our internal controls over financing reporting were effective as of December 31, 2025,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w:t>
      </w:r>
    </w:p>
    <w:p>
      <w:pPr>
        <w:spacing w:after="0" w:line="1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The estimates and judgments we make, or the assumptions on which we rely, in preparing our consolidated financial statements could prove inaccurate.</w:t>
      </w:r>
    </w:p>
    <w:p>
      <w:pPr>
        <w:spacing w:after="0" w:line="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Our consolidated financial statements have been prepared in accordance with accounting principles generally accepted in the United States (“U.S.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For example, our estimates as they relate to anticipated timelines and milestones for our clinical trials or preclinical development may prove to be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or otherwise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harm our business, and cause our share price to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do not anticipate paying any cash dividends on our ordinary shares in the foreseeable future.</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our shareholders’ sole source of gain for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incur significant costs from class action litigation due to share volatility.</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that has experienced significant price and trading volatility have occasionally brought securities class action litigation</w:t>
      </w:r>
    </w:p>
    <w:p>
      <w:pPr>
        <w:sectPr>
          <w:pgSz w:w="11880" w:h="15480" w:orient="portrait"/>
          <w:cols w:equalWidth="0" w:num="1">
            <w:col w:w="10460"/>
          </w:cols>
          <w:pgMar w:left="700" w:top="965" w:right="720" w:bottom="456" w:gutter="0" w:footer="0" w:header="0"/>
        </w:sectPr>
      </w:pPr>
    </w:p>
    <w:bookmarkStart w:id="77" w:name="page78"/>
    <w:bookmarkEnd w:id="77"/>
    <w:p>
      <w:pPr>
        <w:ind w:right="40"/>
        <w:spacing w:after="0" w:line="266" w:lineRule="auto"/>
        <w:rPr>
          <w:sz w:val="20"/>
          <w:szCs w:val="20"/>
          <w:color w:val="auto"/>
        </w:rPr>
      </w:pPr>
      <w:r>
        <w:rPr>
          <w:rFonts w:ascii="Times New Roman" w:cs="Times New Roman" w:eastAsia="Times New Roman" w:hAnsi="Times New Roman"/>
          <w:sz w:val="19"/>
          <w:szCs w:val="19"/>
          <w:color w:val="231F20"/>
        </w:rPr>
        <w:t>against the companies that issued the stock.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Sales of additional ordinary shares could cause the price of our ordinary shares to decline.</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Sales of substantial amounts of our ordinary shares in the public market, or the availability of such shares for sale, by us or others, including the issuance of ordinary shares upon exercise of outstanding options or Pre-Funded Warrants or vesting of outstanding restricted share units, or the perception that such sales could occur, could adversely affect the price of our ordinary shares. Certain of our shareholders have required us, or have the right to require us, to register the sales of their shares under the Securities Act under agreements between us and such shareholders. For example, in August 2019, we filed a registration statement on Form S-3, which was declared effective on August 14, 2019, to register the resale from time to time by certain of our executive officers, directors and their affiliates of up to approximately 7.1 million ordinary shares.</w:t>
      </w:r>
    </w:p>
    <w:p>
      <w:pPr>
        <w:spacing w:after="0" w:line="1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9"/>
          <w:szCs w:val="19"/>
          <w:b w:val="1"/>
          <w:bCs w:val="1"/>
          <w:i w:val="1"/>
          <w:iCs w:val="1"/>
          <w:color w:val="231F20"/>
        </w:rPr>
        <w:t>If securities or industry analysts do not publish research or publish inaccurate or unfavorable research about our business, our share price and trading volume could decline.</w:t>
      </w:r>
    </w:p>
    <w:p>
      <w:pPr>
        <w:spacing w:after="0" w:line="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231F20"/>
        </w:rPr>
        <w:t>The trading market for our ordinary shares may depend in part on the research and reports that securities or industry analysts publish about us or our business. If too few securities or industry analysts cover our company, the trading price for our ordinary shares would likely be negatively impacted.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ectPr>
          <w:pgSz w:w="11880" w:h="15480" w:orient="portrait"/>
          <w:cols w:equalWidth="0" w:num="1">
            <w:col w:w="10460"/>
          </w:cols>
          <w:pgMar w:left="700" w:top="963" w:right="720" w:bottom="1440" w:gutter="0" w:footer="0" w:header="0"/>
        </w:sectPr>
      </w:pPr>
    </w:p>
    <w:bookmarkStart w:id="78" w:name="page79"/>
    <w:bookmarkEnd w:id="78"/>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1B.</w:t>
        <w:tab/>
        <w:t>Unresolved Staff Comments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None.</w:t>
      </w:r>
    </w:p>
    <w:p>
      <w:pPr>
        <w:spacing w:after="0" w:line="200" w:lineRule="exact"/>
        <w:rPr>
          <w:sz w:val="20"/>
          <w:szCs w:val="20"/>
          <w:color w:val="auto"/>
        </w:rPr>
      </w:pPr>
    </w:p>
    <w:p>
      <w:pPr>
        <w:spacing w:after="0" w:line="3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1C.</w:t>
        <w:tab/>
        <w:t>Cybersecurity</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231F20"/>
        </w:rPr>
        <w:t>We recognize the importance of maintaining the trust and confidence of the patients we serve, our business partners, employees and our shareholders and are committed to protecting the confidentiality, integrity and reliance of our business operations and systems. Effective data protection practices, including responsible stewardship of our intellectual property and the secure processing, storage, maintenance and transmission of critical information by us and other third parties with whom we do business is vital to our operations.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231F20"/>
        </w:rPr>
        <w:t>Our cybersecurity practices, policies, and standards are based on recognized frameworks established by the National Institute of Standards and Technology (“NIST”) (NIST SP 800-53), the Center for Internet Security (“CIS”), along with adopting best practices from Control Objectives for Information and Related Technologies (“COBIT”) and other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if they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Cybersecurity Risk Management and Strategy</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231F20"/>
        </w:rPr>
        <w:t>We may face risks related to cybersecurity, such as unauthorized access, cybersecurity attacks and other security incidents, which could adversely affect our business and operations. To identify and assess material risks from cybersecurity threats, we maintain a robust cybersecurity program to ensure our systems are effective and prepared for information security risks and have integrated these processes into our overall risk management systems and processes. We also identify our cybersecurity threat risks by comparing our processes to standards set by NIST, CIS, and COBIT, as well as by engaging experts to attempt to infiltrate our information systems. We consider risks from cybersecurity threats alongside other company risks as part of our overall risk assessment process. We employ a range of tools, services and capabilities, including regular network and endpoint monitoring, audits, vulnerability assessments, penetration testing, threat modeling, disaster recovery and business continuity planning activities, red team testing, mandatory training for our employees, and tabletop exercises to inform our risk identification and assessment.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231F20"/>
        </w:rPr>
        <w:t>Our processes also address cybersecurity threat risks associated with our use of third-party service providers, including our vendors, CROs, suppliers and/or manufacturers who may have access to patient and employee data or our systems.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continuously through third-party risk management tools.</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231F20"/>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231F20"/>
        </w:rPr>
        <w:t>As part of the above processes, we regularly engage with consultants and other third parties, including a bi-annual review of our cybersecurity program by an independent Qualified Security Assessor.</w:t>
      </w:r>
    </w:p>
    <w:p>
      <w:pPr>
        <w:spacing w:after="0" w:line="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231F20"/>
        </w:rPr>
        <w:t>In the last three fiscal years, we have not experienced any material cybersecurity incidents and the expenses we have incurred from cybersecurity incidents were immaterial. 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9"/>
          <w:szCs w:val="19"/>
          <w:i w:val="1"/>
          <w:iCs w:val="1"/>
          <w:color w:val="231F20"/>
        </w:rPr>
        <w:t>Security breaches, cybersecurity threats, loss of data and other</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disruptions could compromise sensitive information related to our business, prevent us from accessing critical information or expose us to liability, which could adversely affect our business and our reputation</w:t>
      </w:r>
      <w:r>
        <w:rPr>
          <w:rFonts w:ascii="Times New Roman" w:cs="Times New Roman" w:eastAsia="Times New Roman" w:hAnsi="Times New Roman"/>
          <w:sz w:val="19"/>
          <w:szCs w:val="19"/>
          <w:color w:val="231F20"/>
        </w:rPr>
        <w:t>,” in Item 1A. Risk Factors, which disclosures are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incorporated by reference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Cybersecurity Governance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231F20"/>
        </w:rPr>
        <w:t>Our Board is actively involved in oversight of our risk management activities, and cybersecurity represents an important element of our overall approach to risk management. Our Board delegates to the Audit Committee oversight of certain aspects of our risk management process, including risks related to information technology, data privacy and cybersecurity.</w:t>
      </w:r>
    </w:p>
    <w:p>
      <w:pPr>
        <w:sectPr>
          <w:pgSz w:w="11880" w:h="15480" w:orient="portrait"/>
          <w:cols w:equalWidth="0" w:num="1">
            <w:col w:w="10480"/>
          </w:cols>
          <w:pgMar w:left="700" w:top="959" w:right="700"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19"/>
          <w:szCs w:val="19"/>
          <w:color w:val="231F20"/>
        </w:rPr>
        <w:t>At least quarterly, our Audit Committee receives an update from management of our cybersecurity threat risk management and strategy processes, including recent cybersecurity incidents and related responses, cybersecurity testing, activities of third parties, and other similar matters. Our cybersecurity risk management and strategy processes are led by our Data Security Officer, Data Privacy Officer, Chief Financial Officer and General Counsel. Such individuals have collectively over 50 years of prior work experience in various roles involving managing information security, developing cybersecurity strategy, implementing effective information and cybersecurity programs, as well as several relevant degrees and certifications.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231F20"/>
        </w:rPr>
        <w:t>Our Audit Committee is encouraged to regularly engage in conversations with management on cybersecurity-related news and events and discuss any updates to our cybersecurity risk management and strategy programs. Management is informed about and monitors the prevention, mitigation, detection, and remediation of cybersecurity incidents through their management of, and participation in, the cybersecurity risk management and strategy processes described above, including the operation of our incident response plan. We have processes in place to ensure that our Audit Committee shall receive prompt and timely information regarding any cybersecurity incident that meets establishing reporting thresholds, as well as ongoing updates regarding any such incident until it has been addressed.</w:t>
      </w:r>
    </w:p>
    <w:p>
      <w:pPr>
        <w:spacing w:after="0" w:line="200" w:lineRule="exact"/>
        <w:rPr>
          <w:sz w:val="20"/>
          <w:szCs w:val="20"/>
          <w:color w:val="auto"/>
        </w:rPr>
      </w:pPr>
    </w:p>
    <w:p>
      <w:pPr>
        <w:spacing w:after="0" w:line="3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2.</w:t>
      </w:r>
      <w:r>
        <w:rPr>
          <w:sz w:val="20"/>
          <w:szCs w:val="20"/>
          <w:color w:val="auto"/>
        </w:rPr>
        <w:tab/>
      </w:r>
      <w:r>
        <w:rPr>
          <w:rFonts w:ascii="Times New Roman" w:cs="Times New Roman" w:eastAsia="Times New Roman" w:hAnsi="Times New Roman"/>
          <w:sz w:val="19"/>
          <w:szCs w:val="19"/>
          <w:b w:val="1"/>
          <w:bCs w:val="1"/>
          <w:color w:val="231F20"/>
        </w:rPr>
        <w:t>Properties</w:t>
      </w:r>
    </w:p>
    <w:p>
      <w:pPr>
        <w:spacing w:after="0" w:line="12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9"/>
          <w:szCs w:val="19"/>
          <w:color w:val="231F20"/>
        </w:rPr>
        <w:t>We maintain our U.S. corporate offices and research and development facilities in Cambridge, Massachusetts, where we lease office and laboratory space of approximately 44,000 square feet.</w:t>
      </w:r>
    </w:p>
    <w:p>
      <w:pPr>
        <w:spacing w:after="0" w:line="3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9"/>
          <w:szCs w:val="19"/>
          <w:color w:val="231F20"/>
        </w:rPr>
        <w:t>We lease approximately 90,000 square feet of office and laboratory space in Lexington, Massachusetts, which we use for our research, development and cGMP manufacturing.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also occupy laboratory and office space in Japan. We believe our existing facilities are adequate to meet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3.</w:t>
      </w:r>
      <w:r>
        <w:rPr>
          <w:sz w:val="20"/>
          <w:szCs w:val="20"/>
          <w:color w:val="auto"/>
        </w:rPr>
        <w:tab/>
      </w:r>
      <w:r>
        <w:rPr>
          <w:rFonts w:ascii="Times New Roman" w:cs="Times New Roman" w:eastAsia="Times New Roman" w:hAnsi="Times New Roman"/>
          <w:sz w:val="19"/>
          <w:szCs w:val="19"/>
          <w:b w:val="1"/>
          <w:bCs w:val="1"/>
          <w:color w:val="231F20"/>
        </w:rPr>
        <w:t>Legal Proceedings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are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4.</w:t>
      </w:r>
      <w:r>
        <w:rPr>
          <w:sz w:val="20"/>
          <w:szCs w:val="20"/>
          <w:color w:val="auto"/>
        </w:rPr>
        <w:tab/>
      </w:r>
      <w:r>
        <w:rPr>
          <w:rFonts w:ascii="Times New Roman" w:cs="Times New Roman" w:eastAsia="Times New Roman" w:hAnsi="Times New Roman"/>
          <w:sz w:val="19"/>
          <w:szCs w:val="19"/>
          <w:b w:val="1"/>
          <w:bCs w:val="1"/>
          <w:color w:val="231F20"/>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Not applicable.</w:t>
      </w:r>
    </w:p>
    <w:p>
      <w:pPr>
        <w:sectPr>
          <w:pgSz w:w="11880" w:h="15480" w:orient="portrait"/>
          <w:cols w:equalWidth="0" w:num="1">
            <w:col w:w="10480"/>
          </w:cols>
          <w:pgMar w:left="700" w:top="963" w:right="700"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5. Market for Registrant’s Common Equity, Related Stockholder Matters and Issuer Purchases of Equity Securities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Market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Our ordinary shares are traded on the Nasdaq Global Market under the symbol “WVE”.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Shareholders</w:t>
      </w:r>
    </w:p>
    <w:p>
      <w:pPr>
        <w:spacing w:after="0" w:line="105"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9"/>
          <w:szCs w:val="19"/>
          <w:color w:val="231F20"/>
        </w:rPr>
        <w:t>As of February 19, 2026, we had 188,254,954 ordinary shares outstanding and approximately seven shareholders of record of our ordinary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Share Performance Graph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share performance graph compares our total share return with the total return for (i) the Nasdaq Composite Index and</w:t>
      </w:r>
    </w:p>
    <w:p>
      <w:pPr>
        <w:spacing w:after="0" w:line="17" w:lineRule="exact"/>
        <w:rPr>
          <w:sz w:val="20"/>
          <w:szCs w:val="20"/>
          <w:color w:val="auto"/>
        </w:rPr>
      </w:pPr>
    </w:p>
    <w:p>
      <w:pPr>
        <w:spacing w:after="0" w:line="231" w:lineRule="auto"/>
        <w:tabs>
          <w:tab w:leader="none" w:pos="287" w:val="left"/>
        </w:tabs>
        <w:numPr>
          <w:ilvl w:val="0"/>
          <w:numId w:val="3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Nasdaq Biotechnology Index for the period from December 31, 2020 through December 31, 2025. The figures represented below assume an investment of $100.00 in our ordinary shares at the closing price of $7.870 on December 31, 2020 and in the Nasdaq Composite Index and the Nasdaq Biotechnology Index on December 31, 2020 and the reinvestment of dividends, if any, into ordinary shares. The share return shown in the share performance graph below is not necessarily indicative of future performance, and we do not make or endorse any predictions as to future share return.</w:t>
      </w:r>
    </w:p>
    <w:p>
      <w:pPr>
        <w:spacing w:after="0" w:line="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231F20"/>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118745</wp:posOffset>
            </wp:positionV>
            <wp:extent cx="3733165" cy="3101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3733165" cy="310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Dividends</w:t>
      </w:r>
    </w:p>
    <w:p>
      <w:pPr>
        <w:spacing w:after="0" w:line="107"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9"/>
          <w:szCs w:val="19"/>
          <w:color w:val="231F20"/>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Unregistered Sales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Not applicable.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Issuer Purchases of Equity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None.</w:t>
      </w:r>
    </w:p>
    <w:p>
      <w:pPr>
        <w:sectPr>
          <w:pgSz w:w="11880" w:h="15480" w:orient="portrait"/>
          <w:cols w:equalWidth="0" w:num="1">
            <w:col w:w="10440"/>
          </w:cols>
          <w:pgMar w:left="700" w:top="947" w:right="740" w:bottom="550" w:gutter="0" w:footer="0" w:header="0"/>
        </w:sectPr>
      </w:pPr>
    </w:p>
    <w:bookmarkStart w:id="81" w:name="page82"/>
    <w:bookmarkEnd w:id="81"/>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6.</w:t>
      </w:r>
      <w:r>
        <w:rPr>
          <w:sz w:val="20"/>
          <w:szCs w:val="20"/>
          <w:color w:val="auto"/>
        </w:rPr>
        <w:tab/>
      </w:r>
      <w:r>
        <w:rPr>
          <w:rFonts w:ascii="Times New Roman" w:cs="Times New Roman" w:eastAsia="Times New Roman" w:hAnsi="Times New Roman"/>
          <w:sz w:val="19"/>
          <w:szCs w:val="19"/>
          <w:b w:val="1"/>
          <w:bCs w:val="1"/>
          <w:color w:val="231F20"/>
        </w:rPr>
        <w:t>[Reserved]</w:t>
      </w:r>
    </w:p>
    <w:p>
      <w:pPr>
        <w:sectPr>
          <w:pgSz w:w="11880" w:h="15480" w:orient="portrait"/>
          <w:cols w:equalWidth="0" w:num="1">
            <w:col w:w="9740"/>
          </w:cols>
          <w:pgMar w:left="700" w:top="961" w:right="1440" w:bottom="1440" w:gutter="0" w:footer="0" w:header="0"/>
        </w:sectPr>
      </w:pPr>
    </w:p>
    <w:bookmarkStart w:id="82" w:name="page83"/>
    <w:bookmarkEnd w:id="82"/>
    <w:p>
      <w:pPr>
        <w:ind w:left="1"/>
        <w:spacing w:after="0"/>
        <w:rPr>
          <w:sz w:val="20"/>
          <w:szCs w:val="20"/>
          <w:color w:val="auto"/>
        </w:rPr>
      </w:pPr>
      <w:r>
        <w:rPr>
          <w:rFonts w:ascii="Times New Roman" w:cs="Times New Roman" w:eastAsia="Times New Roman" w:hAnsi="Times New Roman"/>
          <w:sz w:val="19"/>
          <w:szCs w:val="19"/>
          <w:b w:val="1"/>
          <w:bCs w:val="1"/>
          <w:color w:val="231F20"/>
        </w:rPr>
        <w:t>Item 7.</w:t>
      </w:r>
    </w:p>
    <w:p>
      <w:pPr>
        <w:spacing w:after="0" w:line="3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color w:val="231F20"/>
        </w:rPr>
        <w:t>MANAGEMENT’S DISCUSSION AND ANALYSIS OF FINANCIAL CONDITION AND RESULTS OF OPERATIONS</w:t>
      </w:r>
    </w:p>
    <w:p>
      <w:pPr>
        <w:spacing w:after="0" w:line="127" w:lineRule="exact"/>
        <w:rPr>
          <w:sz w:val="20"/>
          <w:szCs w:val="20"/>
          <w:color w:val="auto"/>
        </w:rPr>
      </w:pPr>
    </w:p>
    <w:p>
      <w:pPr>
        <w:ind w:left="1"/>
        <w:spacing w:after="0" w:line="252" w:lineRule="auto"/>
        <w:rPr>
          <w:sz w:val="20"/>
          <w:szCs w:val="20"/>
          <w:color w:val="auto"/>
        </w:rPr>
      </w:pPr>
      <w:r>
        <w:rPr>
          <w:rFonts w:ascii="Times New Roman" w:cs="Times New Roman" w:eastAsia="Times New Roman" w:hAnsi="Times New Roman"/>
          <w:sz w:val="19"/>
          <w:szCs w:val="19"/>
          <w:i w:val="1"/>
          <w:iCs w:val="1"/>
          <w:color w:val="231F20"/>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 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color w:val="231F20"/>
        </w:rPr>
        <w:t>Overview</w:t>
      </w:r>
    </w:p>
    <w:p>
      <w:pPr>
        <w:spacing w:after="0" w:line="240" w:lineRule="exact"/>
        <w:rPr>
          <w:sz w:val="20"/>
          <w:szCs w:val="20"/>
          <w:color w:val="auto"/>
        </w:rPr>
      </w:pPr>
    </w:p>
    <w:p>
      <w:pPr>
        <w:ind w:left="1"/>
        <w:spacing w:after="0" w:line="237" w:lineRule="auto"/>
        <w:rPr>
          <w:sz w:val="20"/>
          <w:szCs w:val="20"/>
          <w:color w:val="auto"/>
        </w:rPr>
      </w:pPr>
      <w:r>
        <w:rPr>
          <w:rFonts w:ascii="Times New Roman" w:cs="Times New Roman" w:eastAsia="Times New Roman" w:hAnsi="Times New Roman"/>
          <w:sz w:val="19"/>
          <w:szCs w:val="19"/>
          <w:color w:val="231F20"/>
        </w:rPr>
        <w:t>We are a clinical-stage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19"/>
          <w:szCs w:val="19"/>
          <w:color w:val="231F20"/>
        </w:rPr>
        <w:t>, combines multiple modalities, chemistry innovation and deep insights into human genetics to deliver scientific breakthroughs that treat both rare and common disorders. Our toolkit of RNA-targeting modalities, including RNAi (SpiNA) and RNA editing (AIMers), provides us with unmatched capabilities for designing and sustainably delivering candidates that optimally address disease biology. Our pipeline is focused on our obesity (WVE-007), alpha-1 antitrypsin deficiency (“AATD”) (WVE-006) and PNPLA3 I148M liver disease (WVE-</w:t>
      </w:r>
    </w:p>
    <w:p>
      <w:pPr>
        <w:spacing w:after="0" w:line="4" w:lineRule="exact"/>
        <w:rPr>
          <w:sz w:val="20"/>
          <w:szCs w:val="20"/>
          <w:color w:val="auto"/>
        </w:rPr>
      </w:pPr>
    </w:p>
    <w:p>
      <w:pPr>
        <w:ind w:left="1" w:right="120" w:hanging="1"/>
        <w:spacing w:after="0" w:line="258" w:lineRule="auto"/>
        <w:tabs>
          <w:tab w:leader="none" w:pos="405" w:val="left"/>
        </w:tabs>
        <w:numPr>
          <w:ilvl w:val="0"/>
          <w:numId w:val="3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programs, and also includes clinical programs for Duchenne muscular dystrophy (“DMD”) and Huntington’s disease (“HD”), as well as several preclinical programs utilizing our versatile RNA medicines platform.</w:t>
      </w:r>
    </w:p>
    <w:p>
      <w:pPr>
        <w:spacing w:after="0" w:line="66" w:lineRule="exact"/>
        <w:rPr>
          <w:sz w:val="20"/>
          <w:szCs w:val="20"/>
          <w:color w:val="auto"/>
        </w:rPr>
      </w:pPr>
    </w:p>
    <w:p>
      <w:pPr>
        <w:ind w:left="1"/>
        <w:spacing w:after="0" w:line="252" w:lineRule="auto"/>
        <w:rPr>
          <w:sz w:val="20"/>
          <w:szCs w:val="20"/>
          <w:color w:val="auto"/>
        </w:rPr>
      </w:pPr>
      <w:r>
        <w:rPr>
          <w:rFonts w:ascii="Times New Roman" w:cs="Times New Roman" w:eastAsia="Times New Roman" w:hAnsi="Times New Roman"/>
          <w:sz w:val="19"/>
          <w:szCs w:val="19"/>
          <w:color w:val="231F20"/>
        </w:rPr>
        <w:t>We were founded on the recognition that there was a significant, untapped opportunity to use chemistry innovation to tune the pharmacological properties of oligonucleotides. We have more than a decade of experience challenging convention related to oligonucleotide design and pioneering novel chemistry modifications to optimize the pharmacological properties of our molecules. We have seen in clinical trials that these chemistry modifications enhance potency, distribution, and durability of effect of our molecules. Our novel chemistry also allows us to avoid using complex delivery vehicles, such as lipid nanoparticles and viruses, and instead use clinically proven conjugates (</w:t>
      </w:r>
      <w:r>
        <w:rPr>
          <w:rFonts w:ascii="Times New Roman" w:cs="Times New Roman" w:eastAsia="Times New Roman" w:hAnsi="Times New Roman"/>
          <w:sz w:val="19"/>
          <w:szCs w:val="19"/>
          <w:i w:val="1"/>
          <w:iCs w:val="1"/>
          <w:color w:val="231F20"/>
        </w:rPr>
        <w:t>e.g., N</w:t>
      </w:r>
      <w:r>
        <w:rPr>
          <w:rFonts w:ascii="Times New Roman" w:cs="Times New Roman" w:eastAsia="Times New Roman" w:hAnsi="Times New Roman"/>
          <w:sz w:val="19"/>
          <w:szCs w:val="19"/>
          <w:color w:val="231F20"/>
        </w:rPr>
        <w:t>- acetylgalactosamine or (“GalNAc”)) or free uptake for delivery to a variety of cell and tissue types. We maintain strong and broad intellectual property, including for our novel chemistry modifications.</w:t>
      </w:r>
    </w:p>
    <w:p>
      <w:pPr>
        <w:spacing w:after="0" w:line="71" w:lineRule="exact"/>
        <w:rPr>
          <w:sz w:val="20"/>
          <w:szCs w:val="20"/>
          <w:color w:val="auto"/>
        </w:rPr>
      </w:pPr>
    </w:p>
    <w:p>
      <w:pPr>
        <w:ind w:left="1" w:right="140"/>
        <w:spacing w:after="0" w:line="260" w:lineRule="auto"/>
        <w:rPr>
          <w:sz w:val="20"/>
          <w:szCs w:val="20"/>
          <w:color w:val="auto"/>
        </w:rPr>
      </w:pPr>
      <w:r>
        <w:rPr>
          <w:rFonts w:ascii="Times New Roman" w:cs="Times New Roman" w:eastAsia="Times New Roman" w:hAnsi="Times New Roman"/>
          <w:sz w:val="19"/>
          <w:szCs w:val="19"/>
          <w:color w:val="231F20"/>
        </w:rPr>
        <w:t>Our best-in-class chemistry capabilities have also unlocked new areas of biology, such as harnessing adenosine deaminases acting on RNA (“ADAR”) enzymes for messenger RNA (“mRNA”) correction and upregulation, selectively silencing a mutant allele, and more. By opening up new areas of biology, we have also opened up new opportunities to slow, stop, or reverse disease and have expanded the possibilities offered through our platform.</w:t>
      </w:r>
    </w:p>
    <w:p>
      <w:pPr>
        <w:spacing w:after="0" w:line="64" w:lineRule="exact"/>
        <w:rPr>
          <w:sz w:val="20"/>
          <w:szCs w:val="20"/>
          <w:color w:val="auto"/>
        </w:rPr>
      </w:pPr>
    </w:p>
    <w:p>
      <w:pPr>
        <w:ind w:left="1" w:right="120" w:firstLine="1"/>
        <w:spacing w:after="0" w:line="252" w:lineRule="auto"/>
        <w:rPr>
          <w:sz w:val="20"/>
          <w:szCs w:val="20"/>
          <w:color w:val="auto"/>
        </w:rPr>
      </w:pPr>
      <w:r>
        <w:rPr>
          <w:rFonts w:ascii="Times New Roman" w:cs="Times New Roman" w:eastAsia="Times New Roman" w:hAnsi="Times New Roman"/>
          <w:sz w:val="19"/>
          <w:szCs w:val="19"/>
          <w:color w:val="231F20"/>
        </w:rPr>
        <w:t xml:space="preserve">The inspiration for our multimodal platform is based on the recognition that the biological machinery </w:t>
      </w:r>
      <w:r>
        <w:rPr>
          <w:rFonts w:ascii="Times New Roman" w:cs="Times New Roman" w:eastAsia="Times New Roman" w:hAnsi="Times New Roman"/>
          <w:sz w:val="19"/>
          <w:szCs w:val="19"/>
          <w:i w:val="1"/>
          <w:iCs w:val="1"/>
          <w:color w:val="231F20"/>
        </w:rPr>
        <w:t>(i.e.,</w:t>
      </w:r>
      <w:r>
        <w:rPr>
          <w:rFonts w:ascii="Times New Roman" w:cs="Times New Roman" w:eastAsia="Times New Roman" w:hAnsi="Times New Roman"/>
          <w:sz w:val="19"/>
          <w:szCs w:val="19"/>
          <w:color w:val="231F20"/>
        </w:rPr>
        <w:t xml:space="preserve"> enzymes) needed to address human disease already exists within our cells and can be harnessed for therapeutic purposes with the right tools. We believe that we have built the most versatile toolkit of RNA-targeting modalities in the industry, with multiple means of repairing, restoring, or reducing proteins and designing best-fit solutions based on the unique biology of a given disease target. We are actively advancing programs across modalities, including RNA interference (“RNAi”) (silencing), RNA editing, which uses novel A-to-I RNA editing oligonucleotides (“AIMers”), antisense silencing, and splicing. We have also advanced novel bifunctional modalities designed to silence multiple targets or silence one target while simultaneously editing or upregulating another unique target.</w:t>
      </w:r>
    </w:p>
    <w:p>
      <w:pPr>
        <w:sectPr>
          <w:pgSz w:w="11880" w:h="15480" w:orient="portrait"/>
          <w:cols w:equalWidth="0" w:num="1">
            <w:col w:w="10481"/>
          </w:cols>
          <w:pgMar w:left="699" w:top="961" w:right="70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444500</wp:posOffset>
            </wp:positionH>
            <wp:positionV relativeFrom="page">
              <wp:posOffset>623570</wp:posOffset>
            </wp:positionV>
            <wp:extent cx="6652260" cy="301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5226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9"/>
          <w:szCs w:val="19"/>
          <w:color w:val="231F20"/>
        </w:rPr>
        <w:t>We intentionally focus on targeting the transcriptome using oligonucleotides rather than other nucleic acid modalities such as gene therapy and DNA editing. This focus enables us to:</w:t>
      </w:r>
    </w:p>
    <w:p>
      <w:pPr>
        <w:spacing w:after="0" w:line="171" w:lineRule="exact"/>
        <w:rPr>
          <w:sz w:val="20"/>
          <w:szCs w:val="20"/>
          <w:color w:val="auto"/>
        </w:rPr>
      </w:pPr>
    </w:p>
    <w:p>
      <w:pPr>
        <w:ind w:left="800" w:right="880" w:hanging="340"/>
        <w:spacing w:after="0" w:line="288" w:lineRule="auto"/>
        <w:tabs>
          <w:tab w:leader="none" w:pos="800" w:val="left"/>
        </w:tabs>
        <w:numPr>
          <w:ilvl w:val="0"/>
          <w:numId w:val="39"/>
        </w:numPr>
        <w:rPr>
          <w:rFonts w:ascii="Arial" w:cs="Arial" w:eastAsia="Arial" w:hAnsi="Arial"/>
          <w:sz w:val="19"/>
          <w:szCs w:val="19"/>
          <w:color w:val="231F20"/>
        </w:rPr>
      </w:pPr>
      <w:r>
        <w:rPr>
          <w:rFonts w:ascii="Times New Roman" w:cs="Times New Roman" w:eastAsia="Times New Roman" w:hAnsi="Times New Roman"/>
          <w:sz w:val="19"/>
          <w:szCs w:val="19"/>
          <w:color w:val="231F20"/>
        </w:rPr>
        <w:t>Leverage diversity of expression across cell types by modulating the many regulatory pathways that impact gene expression, including transcription, endogenous RNAi pathways, splicing, and translation;</w:t>
      </w:r>
    </w:p>
    <w:p>
      <w:pPr>
        <w:spacing w:after="0" w:line="168" w:lineRule="exact"/>
        <w:rPr>
          <w:rFonts w:ascii="Arial" w:cs="Arial" w:eastAsia="Arial" w:hAnsi="Arial"/>
          <w:sz w:val="19"/>
          <w:szCs w:val="19"/>
          <w:color w:val="231F20"/>
        </w:rPr>
      </w:pPr>
    </w:p>
    <w:p>
      <w:pPr>
        <w:ind w:left="800" w:hanging="340"/>
        <w:spacing w:after="0"/>
        <w:tabs>
          <w:tab w:leader="none" w:pos="800" w:val="left"/>
        </w:tabs>
        <w:numPr>
          <w:ilvl w:val="0"/>
          <w:numId w:val="39"/>
        </w:numPr>
        <w:rPr>
          <w:rFonts w:ascii="Arial" w:cs="Arial" w:eastAsia="Arial" w:hAnsi="Arial"/>
          <w:sz w:val="19"/>
          <w:szCs w:val="19"/>
          <w:color w:val="231F20"/>
        </w:rPr>
      </w:pPr>
      <w:r>
        <w:rPr>
          <w:rFonts w:ascii="Times New Roman" w:cs="Times New Roman" w:eastAsia="Times New Roman" w:hAnsi="Times New Roman"/>
          <w:sz w:val="19"/>
          <w:szCs w:val="19"/>
          <w:color w:val="231F20"/>
        </w:rPr>
        <w:t>Address diseases that have historically been difficult to treat with small molecules or biologics;</w:t>
      </w:r>
    </w:p>
    <w:p>
      <w:pPr>
        <w:spacing w:after="0" w:line="250" w:lineRule="exact"/>
        <w:rPr>
          <w:rFonts w:ascii="Arial" w:cs="Arial" w:eastAsia="Arial" w:hAnsi="Arial"/>
          <w:sz w:val="19"/>
          <w:szCs w:val="19"/>
          <w:color w:val="231F20"/>
        </w:rPr>
      </w:pPr>
    </w:p>
    <w:p>
      <w:pPr>
        <w:ind w:left="800" w:right="840" w:hanging="340"/>
        <w:spacing w:after="0" w:line="285" w:lineRule="auto"/>
        <w:tabs>
          <w:tab w:leader="none" w:pos="800" w:val="left"/>
        </w:tabs>
        <w:numPr>
          <w:ilvl w:val="0"/>
          <w:numId w:val="39"/>
        </w:numPr>
        <w:rPr>
          <w:rFonts w:ascii="Arial" w:cs="Arial" w:eastAsia="Arial" w:hAnsi="Arial"/>
          <w:sz w:val="19"/>
          <w:szCs w:val="19"/>
          <w:color w:val="231F20"/>
        </w:rPr>
      </w:pPr>
      <w:r>
        <w:rPr>
          <w:rFonts w:ascii="Times New Roman" w:cs="Times New Roman" w:eastAsia="Times New Roman" w:hAnsi="Times New Roman"/>
          <w:sz w:val="19"/>
          <w:szCs w:val="19"/>
          <w:color w:val="231F20"/>
        </w:rPr>
        <w:t>Access a variety of tissue types or cell types throughout the body and modulate the frequency of dosing for broad distribution in tissues over time;</w:t>
      </w:r>
    </w:p>
    <w:p>
      <w:pPr>
        <w:spacing w:after="0" w:line="171" w:lineRule="exact"/>
        <w:rPr>
          <w:rFonts w:ascii="Arial" w:cs="Arial" w:eastAsia="Arial" w:hAnsi="Arial"/>
          <w:sz w:val="19"/>
          <w:szCs w:val="19"/>
          <w:color w:val="231F20"/>
        </w:rPr>
      </w:pPr>
    </w:p>
    <w:p>
      <w:pPr>
        <w:ind w:left="800" w:right="180" w:hanging="340"/>
        <w:spacing w:after="0" w:line="288" w:lineRule="auto"/>
        <w:tabs>
          <w:tab w:leader="none" w:pos="800" w:val="left"/>
        </w:tabs>
        <w:numPr>
          <w:ilvl w:val="0"/>
          <w:numId w:val="39"/>
        </w:numPr>
        <w:rPr>
          <w:rFonts w:ascii="Arial" w:cs="Arial" w:eastAsia="Arial" w:hAnsi="Arial"/>
          <w:sz w:val="19"/>
          <w:szCs w:val="19"/>
          <w:color w:val="231F20"/>
        </w:rPr>
      </w:pPr>
      <w:r>
        <w:rPr>
          <w:rFonts w:ascii="Times New Roman" w:cs="Times New Roman" w:eastAsia="Times New Roman" w:hAnsi="Times New Roman"/>
          <w:sz w:val="19"/>
          <w:szCs w:val="19"/>
          <w:color w:val="231F20"/>
        </w:rPr>
        <w:t>Avoid the risk of permanent off-target genetic changes and other challenges associated with DNA editing or gene therapy approaches; and</w:t>
      </w:r>
    </w:p>
    <w:p>
      <w:pPr>
        <w:spacing w:after="0" w:line="168" w:lineRule="exact"/>
        <w:rPr>
          <w:rFonts w:ascii="Arial" w:cs="Arial" w:eastAsia="Arial" w:hAnsi="Arial"/>
          <w:sz w:val="19"/>
          <w:szCs w:val="19"/>
          <w:color w:val="231F20"/>
        </w:rPr>
      </w:pPr>
    </w:p>
    <w:p>
      <w:pPr>
        <w:ind w:left="800" w:hanging="340"/>
        <w:spacing w:after="0"/>
        <w:tabs>
          <w:tab w:leader="none" w:pos="800" w:val="left"/>
        </w:tabs>
        <w:numPr>
          <w:ilvl w:val="0"/>
          <w:numId w:val="39"/>
        </w:numPr>
        <w:rPr>
          <w:rFonts w:ascii="Arial" w:cs="Arial" w:eastAsia="Arial" w:hAnsi="Arial"/>
          <w:sz w:val="19"/>
          <w:szCs w:val="19"/>
          <w:color w:val="231F20"/>
        </w:rPr>
      </w:pPr>
      <w:r>
        <w:rPr>
          <w:rFonts w:ascii="Times New Roman" w:cs="Times New Roman" w:eastAsia="Times New Roman" w:hAnsi="Times New Roman"/>
          <w:sz w:val="19"/>
          <w:szCs w:val="19"/>
          <w:color w:val="231F20"/>
        </w:rPr>
        <w:t>Leverage well-established industry manufacturing processes and regulatory, access, and reimbursement pathways.</w:t>
      </w:r>
    </w:p>
    <w:p>
      <w:pPr>
        <w:spacing w:after="0" w:line="23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231F20"/>
        </w:rPr>
        <w:t>We are currently prioritizing lead programs that use GalNAc delivery for hepatic and metabolic diseases, each of which have potential to translate powerful human genetic insights into potentially transformational RNA medicines:</w:t>
      </w:r>
    </w:p>
    <w:p>
      <w:pPr>
        <w:spacing w:after="0" w:line="165" w:lineRule="exact"/>
        <w:rPr>
          <w:sz w:val="20"/>
          <w:szCs w:val="20"/>
          <w:color w:val="auto"/>
        </w:rPr>
      </w:pPr>
    </w:p>
    <w:p>
      <w:pPr>
        <w:ind w:left="800" w:hanging="340"/>
        <w:spacing w:after="0"/>
        <w:tabs>
          <w:tab w:leader="none" w:pos="800" w:val="left"/>
        </w:tabs>
        <w:numPr>
          <w:ilvl w:val="0"/>
          <w:numId w:val="40"/>
        </w:numPr>
        <w:rPr>
          <w:rFonts w:ascii="Arial" w:cs="Arial" w:eastAsia="Arial" w:hAnsi="Arial"/>
          <w:sz w:val="19"/>
          <w:szCs w:val="19"/>
          <w:color w:val="231F20"/>
        </w:rPr>
      </w:pPr>
      <w:r>
        <w:rPr>
          <w:rFonts w:ascii="Times New Roman" w:cs="Times New Roman" w:eastAsia="Times New Roman" w:hAnsi="Times New Roman"/>
          <w:sz w:val="19"/>
          <w:szCs w:val="19"/>
          <w:color w:val="231F20"/>
        </w:rPr>
        <w:t>WVE-007 is a GalNAc-</w:t>
      </w:r>
      <w:r>
        <w:rPr>
          <w:rFonts w:ascii="PMingLiU" w:cs="PMingLiU" w:eastAsia="PMingLiU" w:hAnsi="PMingLiU"/>
          <w:sz w:val="19"/>
          <w:szCs w:val="19"/>
          <w:color w:val="231F20"/>
        </w:rPr>
        <w:t>FRQMXJDWHGVL51$6SL1$GHVLJQWDUJHWLQJLQKLELQ (³,1+%(´IRUREHVLW\</w:t>
      </w:r>
    </w:p>
    <w:p>
      <w:pPr>
        <w:spacing w:after="0" w:line="239" w:lineRule="exact"/>
        <w:rPr>
          <w:rFonts w:ascii="Arial" w:cs="Arial" w:eastAsia="Arial" w:hAnsi="Arial"/>
          <w:sz w:val="19"/>
          <w:szCs w:val="19"/>
          <w:color w:val="231F20"/>
        </w:rPr>
      </w:pPr>
    </w:p>
    <w:p>
      <w:pPr>
        <w:ind w:left="800" w:hanging="340"/>
        <w:spacing w:after="0"/>
        <w:tabs>
          <w:tab w:leader="none" w:pos="800" w:val="left"/>
        </w:tabs>
        <w:numPr>
          <w:ilvl w:val="0"/>
          <w:numId w:val="40"/>
        </w:numPr>
        <w:rPr>
          <w:rFonts w:ascii="Arial" w:cs="Arial" w:eastAsia="Arial" w:hAnsi="Arial"/>
          <w:sz w:val="19"/>
          <w:szCs w:val="19"/>
          <w:color w:val="231F20"/>
        </w:rPr>
      </w:pPr>
      <w:r>
        <w:rPr>
          <w:rFonts w:ascii="Times New Roman" w:cs="Times New Roman" w:eastAsia="Times New Roman" w:hAnsi="Times New Roman"/>
          <w:sz w:val="19"/>
          <w:szCs w:val="19"/>
          <w:color w:val="231F20"/>
        </w:rPr>
        <w:t>WVE-006 is a GalNAc-conjugated RNA editing oligonucleotide (AIMer) for AATD;</w:t>
      </w:r>
    </w:p>
    <w:p>
      <w:pPr>
        <w:spacing w:after="0" w:line="250" w:lineRule="exact"/>
        <w:rPr>
          <w:rFonts w:ascii="Arial" w:cs="Arial" w:eastAsia="Arial" w:hAnsi="Arial"/>
          <w:sz w:val="19"/>
          <w:szCs w:val="19"/>
          <w:color w:val="231F20"/>
        </w:rPr>
      </w:pPr>
    </w:p>
    <w:p>
      <w:pPr>
        <w:ind w:left="800" w:hanging="340"/>
        <w:spacing w:after="0"/>
        <w:tabs>
          <w:tab w:leader="none" w:pos="800" w:val="left"/>
        </w:tabs>
        <w:numPr>
          <w:ilvl w:val="0"/>
          <w:numId w:val="40"/>
        </w:numPr>
        <w:rPr>
          <w:rFonts w:ascii="Arial" w:cs="Arial" w:eastAsia="Arial" w:hAnsi="Arial"/>
          <w:sz w:val="19"/>
          <w:szCs w:val="19"/>
          <w:color w:val="231F20"/>
        </w:rPr>
      </w:pPr>
      <w:r>
        <w:rPr>
          <w:rFonts w:ascii="Times New Roman" w:cs="Times New Roman" w:eastAsia="Times New Roman" w:hAnsi="Times New Roman"/>
          <w:sz w:val="19"/>
          <w:szCs w:val="19"/>
          <w:color w:val="231F20"/>
        </w:rPr>
        <w:t>WVE-008 is a GalNAc-conjugated RNA editing oligonucleotide (AIMer) for PNPLA3 I148M liver disease.</w:t>
      </w:r>
    </w:p>
    <w:p>
      <w:pPr>
        <w:spacing w:after="0" w:line="237" w:lineRule="exact"/>
        <w:rPr>
          <w:sz w:val="20"/>
          <w:szCs w:val="20"/>
          <w:color w:val="auto"/>
        </w:rPr>
      </w:pPr>
    </w:p>
    <w:p>
      <w:pPr>
        <w:ind w:right="420" w:firstLine="1"/>
        <w:spacing w:after="0" w:line="259" w:lineRule="auto"/>
        <w:rPr>
          <w:sz w:val="20"/>
          <w:szCs w:val="20"/>
          <w:color w:val="auto"/>
        </w:rPr>
      </w:pPr>
      <w:r>
        <w:rPr>
          <w:rFonts w:ascii="Times New Roman" w:cs="Times New Roman" w:eastAsia="Times New Roman" w:hAnsi="Times New Roman"/>
          <w:sz w:val="19"/>
          <w:szCs w:val="19"/>
          <w:color w:val="231F20"/>
        </w:rPr>
        <w:t>Our clinical-stage portfolio also includes WVE-N531, an exon 53 splicing oligonucleotide for DMD, and WVE-003, an allele-selective oligonucleotide designed to lower mutant huntingtin (“mHTT”) protein and preserve healthy, wild-type huntingtin (“wtHTT”) protein. We are also advancing several emerging siRNA and RNA editing programs targeting both hepatic and extra-hepatic tissues.</w:t>
      </w:r>
    </w:p>
    <w:p>
      <w:pPr>
        <w:sectPr>
          <w:pgSz w:w="11880" w:h="15480" w:orient="portrait"/>
          <w:cols w:equalWidth="0" w:num="1">
            <w:col w:w="10440"/>
          </w:cols>
          <w:pgMar w:left="700" w:top="1440" w:right="7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9"/>
          <w:szCs w:val="19"/>
          <w:b w:val="1"/>
          <w:bCs w:val="1"/>
          <w:color w:val="231F20"/>
        </w:rPr>
        <w:t>Financial Operations Overview</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have never been profitable, and since our inception, we have incurred significant operating losses. Our net loss was $204.4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in 2025, $97.0 million in 2024, and $57.5 million in 2023. As of December 31, 2025 and 2024, we had an accumulated deficit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$1,326.2 million and $1,121.9 million, respectively. We expect to incur significant expenses and operating losses for the foreseeable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future.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Revenue</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231F20"/>
        </w:rPr>
        <w:t>We recognize collaboration revenue under the GSK Collaboration Agreement, which became effective in January 2023, and the Takeda Collaboration Agreement, which became effective in April 2018 and expired in the fourth quarter of 2024, (both of which are defined in Note 5 in the notes to the consolidated financial statements appearing elsewhere in this Annual Report on Form 10-K). We have not generated any product revenue since our inception and do not expect to generate any revenue from the sale of products for the foreseeable future.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Operating Expenses</w:t>
      </w:r>
    </w:p>
    <w:p>
      <w:pPr>
        <w:spacing w:after="0" w:line="1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231F20"/>
        </w:rPr>
        <w:t>Our operating expenses since inception have consisted primarily of research and development expenses and general and administrative expenses.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Research and Development Expenses</w:t>
      </w:r>
    </w:p>
    <w:p>
      <w:pPr>
        <w:spacing w:after="0" w:line="11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9"/>
          <w:szCs w:val="19"/>
          <w:color w:val="231F20"/>
        </w:rPr>
        <w:t>Research and development expenses consist primarily of costs incurred for our research activities, including development of our RNA medicines platform, our discovery efforts, and the development of our product candidates, which include:</w:t>
      </w:r>
    </w:p>
    <w:p>
      <w:pPr>
        <w:spacing w:after="0" w:line="51" w:lineRule="exact"/>
        <w:rPr>
          <w:sz w:val="20"/>
          <w:szCs w:val="20"/>
          <w:color w:val="auto"/>
        </w:rPr>
      </w:pPr>
    </w:p>
    <w:p>
      <w:pPr>
        <w:ind w:left="940" w:right="540" w:hanging="466"/>
        <w:spacing w:after="0" w:line="285" w:lineRule="auto"/>
        <w:tabs>
          <w:tab w:leader="none" w:pos="94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compensation-related expenses, including employee salaries, bonuses, share-based compensation expense and other related benefits expenses for personnel in our research and development organization;</w:t>
      </w:r>
    </w:p>
    <w:p>
      <w:pPr>
        <w:spacing w:after="0" w:line="55" w:lineRule="exact"/>
        <w:rPr>
          <w:rFonts w:ascii="Arial" w:cs="Arial" w:eastAsia="Arial" w:hAnsi="Arial"/>
          <w:sz w:val="19"/>
          <w:szCs w:val="19"/>
          <w:color w:val="231F20"/>
        </w:rPr>
      </w:pPr>
    </w:p>
    <w:p>
      <w:pPr>
        <w:jc w:val="both"/>
        <w:ind w:left="940" w:right="420" w:hanging="466"/>
        <w:spacing w:after="0" w:line="266" w:lineRule="auto"/>
        <w:tabs>
          <w:tab w:leader="none" w:pos="94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expenses incurred under agreements with third parties, including CROs that conduct research, preclinical and clinical activities on our behalf, as well as CMOs that manufacture drug product for use in our preclinical studies and clinical trials;</w:t>
      </w:r>
    </w:p>
    <w:p>
      <w:pPr>
        <w:spacing w:after="0" w:line="73" w:lineRule="exact"/>
        <w:rPr>
          <w:rFonts w:ascii="Arial" w:cs="Arial" w:eastAsia="Arial" w:hAnsi="Arial"/>
          <w:sz w:val="19"/>
          <w:szCs w:val="19"/>
          <w:color w:val="231F20"/>
        </w:rPr>
      </w:pPr>
    </w:p>
    <w:p>
      <w:pPr>
        <w:ind w:left="940" w:right="320" w:hanging="466"/>
        <w:spacing w:after="0" w:line="288" w:lineRule="auto"/>
        <w:tabs>
          <w:tab w:leader="none" w:pos="94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expenses incurred related to our internal manufacturing of drug substance for use in our preclinical studies and clinical trials;</w:t>
      </w:r>
    </w:p>
    <w:p>
      <w:pPr>
        <w:spacing w:after="0" w:line="49" w:lineRule="exact"/>
        <w:rPr>
          <w:rFonts w:ascii="Arial" w:cs="Arial" w:eastAsia="Arial" w:hAnsi="Arial"/>
          <w:sz w:val="19"/>
          <w:szCs w:val="19"/>
          <w:color w:val="231F20"/>
        </w:rPr>
      </w:pPr>
    </w:p>
    <w:p>
      <w:pPr>
        <w:ind w:left="940" w:hanging="466"/>
        <w:spacing w:after="0"/>
        <w:tabs>
          <w:tab w:leader="none" w:pos="94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expenses related to compliance with regulatory requirements;</w:t>
      </w:r>
    </w:p>
    <w:p>
      <w:pPr>
        <w:spacing w:after="0" w:line="134" w:lineRule="exact"/>
        <w:rPr>
          <w:rFonts w:ascii="Arial" w:cs="Arial" w:eastAsia="Arial" w:hAnsi="Arial"/>
          <w:sz w:val="19"/>
          <w:szCs w:val="19"/>
          <w:color w:val="231F20"/>
        </w:rPr>
      </w:pPr>
    </w:p>
    <w:p>
      <w:pPr>
        <w:ind w:left="940" w:hanging="466"/>
        <w:spacing w:after="0"/>
        <w:tabs>
          <w:tab w:leader="none" w:pos="94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expenses related to third-party consultants;</w:t>
      </w:r>
    </w:p>
    <w:p>
      <w:pPr>
        <w:spacing w:after="0" w:line="134" w:lineRule="exact"/>
        <w:rPr>
          <w:rFonts w:ascii="Arial" w:cs="Arial" w:eastAsia="Arial" w:hAnsi="Arial"/>
          <w:sz w:val="19"/>
          <w:szCs w:val="19"/>
          <w:color w:val="231F20"/>
        </w:rPr>
      </w:pPr>
    </w:p>
    <w:p>
      <w:pPr>
        <w:ind w:left="940" w:hanging="466"/>
        <w:spacing w:after="0"/>
        <w:tabs>
          <w:tab w:leader="none" w:pos="94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research and development supplies and services expenses; and</w:t>
      </w:r>
    </w:p>
    <w:p>
      <w:pPr>
        <w:spacing w:after="0" w:line="134" w:lineRule="exact"/>
        <w:rPr>
          <w:rFonts w:ascii="Arial" w:cs="Arial" w:eastAsia="Arial" w:hAnsi="Arial"/>
          <w:sz w:val="19"/>
          <w:szCs w:val="19"/>
          <w:color w:val="231F20"/>
        </w:rPr>
      </w:pPr>
    </w:p>
    <w:p>
      <w:pPr>
        <w:ind w:left="940" w:hanging="466"/>
        <w:spacing w:after="0"/>
        <w:tabs>
          <w:tab w:leader="none" w:pos="94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facility-related expenses, including rent, maintenance and other general operating expenses.</w:t>
      </w:r>
    </w:p>
    <w:p>
      <w:pPr>
        <w:spacing w:after="0" w:line="121"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9"/>
          <w:szCs w:val="19"/>
          <w:color w:val="231F20"/>
        </w:rPr>
        <w:t>We recognize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expenses.</w:t>
      </w:r>
    </w:p>
    <w:p>
      <w:pPr>
        <w:spacing w:after="0" w:line="65"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9"/>
          <w:szCs w:val="19"/>
          <w:color w:val="231F20"/>
        </w:rPr>
        <w:t>Our primary research and development focus has been the development of our RNA medicines platform, PRISM. We are using PRISM, which combines multiple modalities, chemistry innovation and deep insights in human genetics, to deliver scientific breakthroughs that treat both rare and common disorders, and advance our pipeline of RNA medicines.</w:t>
      </w:r>
    </w:p>
    <w:p>
      <w:pPr>
        <w:spacing w:after="0" w:line="56" w:lineRule="exact"/>
        <w:rPr>
          <w:sz w:val="20"/>
          <w:szCs w:val="20"/>
          <w:color w:val="auto"/>
        </w:rPr>
      </w:pPr>
    </w:p>
    <w:p>
      <w:pPr>
        <w:ind w:right="20" w:firstLine="1"/>
        <w:spacing w:after="0" w:line="241" w:lineRule="auto"/>
        <w:rPr>
          <w:sz w:val="20"/>
          <w:szCs w:val="20"/>
          <w:color w:val="auto"/>
        </w:rPr>
      </w:pPr>
      <w:r>
        <w:rPr>
          <w:rFonts w:ascii="Times New Roman" w:cs="Times New Roman" w:eastAsia="Times New Roman" w:hAnsi="Times New Roman"/>
          <w:sz w:val="19"/>
          <w:szCs w:val="19"/>
          <w:color w:val="231F20"/>
        </w:rPr>
        <w:t>Our research and development expenses consist primarily of expenses related to our CROs, CMOs, consultants, other external vendors and fees paid to global regulatory agencies to conduct our clinical trials, in addition to compensation-related expenses, internal manufacturing expenses, facility-related expenses and other general operating expenses. These expenses are incurred in connection with research and development efforts and our preclinical studies and clinical trials. We track certain external expenses on a program-by-program basis. However, we do not allocate compensation-related expenses, internal manufacturing expenses, equipment repairs and maintenance expense, facility-related expenses or other operating expenses to specific programs. These expenses, which are not allocated on a program-by-program basis, are included in the “Other research and development expenses</w:t>
      </w:r>
      <w:r>
        <w:rPr>
          <w:rFonts w:ascii="Times New Roman" w:cs="Times New Roman" w:eastAsia="Times New Roman" w:hAnsi="Times New Roman"/>
          <w:sz w:val="25"/>
          <w:szCs w:val="25"/>
          <w:color w:val="231F20"/>
          <w:vertAlign w:val="superscript"/>
        </w:rPr>
        <w:t>(1)</w:t>
      </w:r>
      <w:r>
        <w:rPr>
          <w:rFonts w:ascii="Times New Roman" w:cs="Times New Roman" w:eastAsia="Times New Roman" w:hAnsi="Times New Roman"/>
          <w:sz w:val="19"/>
          <w:szCs w:val="19"/>
          <w:color w:val="231F20"/>
        </w:rPr>
        <w:t>, including PNPLA3, additional preclinical programs, PRISM” category along with other external expenses related to our discovery and development programs, as well as platform development and identification of potential drug discovery candidates.</w:t>
      </w:r>
    </w:p>
    <w:p>
      <w:pPr>
        <w:sectPr>
          <w:pgSz w:w="11880" w:h="15480" w:orient="portrait"/>
          <w:cols w:equalWidth="0" w:num="1">
            <w:col w:w="10480"/>
          </w:cols>
          <w:pgMar w:left="700" w:top="1310" w:right="700" w:bottom="745" w:gutter="0" w:footer="0" w:header="0"/>
        </w:sectPr>
      </w:pPr>
    </w:p>
    <w:bookmarkStart w:id="85" w:name="page86"/>
    <w:bookmarkEnd w:id="85"/>
    <w:p>
      <w:pPr>
        <w:ind w:right="180"/>
        <w:spacing w:after="0" w:line="239" w:lineRule="auto"/>
        <w:rPr>
          <w:sz w:val="20"/>
          <w:szCs w:val="20"/>
          <w:color w:val="auto"/>
        </w:rPr>
      </w:pPr>
      <w:r>
        <w:rPr>
          <w:rFonts w:ascii="Times New Roman" w:cs="Times New Roman" w:eastAsia="Times New Roman" w:hAnsi="Times New Roman"/>
          <w:sz w:val="19"/>
          <w:szCs w:val="19"/>
          <w:color w:val="231F20"/>
        </w:rPr>
        <w:t>Product candidates in later stages of clinical development generally have higher development costs than those in earlier stages of clinical development, primarily due to the increased size and duration of later- stage clinical trials. We expect to continue to incur significant research and development expenses in the foreseeable future as we continue to manage our existing clinical trials, initiate additional clinical trials for certain product candidates, pursue later stages of clinical development for certain product candidates, maintain our manufacturing capabilities and continue to discover and develop additional product candidates in multiple therapeutic areas.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General and Administrative Expenses</w:t>
      </w:r>
    </w:p>
    <w:p>
      <w:pPr>
        <w:spacing w:after="0" w:line="10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231F20"/>
        </w:rPr>
        <w:t>General and administrative expenses consist primarily of compensation-related expenses, including salaries, bonuses, share-based compensation and other related benefits costs for personnel in our executive, finance, corporate, legal and administrative functions, as well as compensation-related expenses for our Board. General and administrative expenses also include legal fees; expenses associated with being a public company; professional fees for accounting, auditing, tax and consulting services; insurance costs; travel expenses; other operating costs; and facility-related expenses.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Other Income, Net</w:t>
      </w:r>
    </w:p>
    <w:p>
      <w:pPr>
        <w:spacing w:after="0" w:line="11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231F20"/>
        </w:rPr>
        <w:t>Other income, net is comprised primarily of interest income on cash and cash equivalents and refundable tax credits from tax authorities. We recognize refundable tax credits when there is reasonable assurance that we will comply with the requirements of the refundable tax credit and that the refundable tax credit will be received.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are a Singapore multi-national company subject to taxation in the United States and various other jurisdictions.</w:t>
      </w:r>
    </w:p>
    <w:p>
      <w:pPr>
        <w:spacing w:after="0" w:line="121"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9"/>
          <w:szCs w:val="19"/>
          <w:color w:val="231F20"/>
        </w:rPr>
        <w:t>As of December 31, 2025 and 2024, we have recorded a full valuation allowance against our net operating loss carryforwards and federal and state tax credits in all jurisdictions due to uncertainty regarding future taxable income.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383738"/>
        </w:rPr>
        <w:t>Results of Operations</w:t>
      </w:r>
    </w:p>
    <w:p>
      <w:pPr>
        <w:spacing w:after="0" w:line="123"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9"/>
          <w:szCs w:val="19"/>
          <w:color w:val="383738"/>
        </w:rPr>
        <w:t xml:space="preserve">In this section, we discuss the results of our operations for the year ended </w:t>
      </w:r>
      <w:r>
        <w:rPr>
          <w:rFonts w:ascii="Times New Roman" w:cs="Times New Roman" w:eastAsia="Times New Roman" w:hAnsi="Times New Roman"/>
          <w:sz w:val="19"/>
          <w:szCs w:val="19"/>
          <w:color w:val="231F20"/>
        </w:rPr>
        <w:t>December 31, 2025</w:t>
      </w:r>
      <w:r>
        <w:rPr>
          <w:rFonts w:ascii="Times New Roman" w:cs="Times New Roman" w:eastAsia="Times New Roman" w:hAnsi="Times New Roman"/>
          <w:sz w:val="19"/>
          <w:szCs w:val="19"/>
          <w:color w:val="383738"/>
        </w:rPr>
        <w:t xml:space="preserve"> compared to the year ended </w:t>
      </w:r>
      <w:r>
        <w:rPr>
          <w:rFonts w:ascii="Times New Roman" w:cs="Times New Roman" w:eastAsia="Times New Roman" w:hAnsi="Times New Roman"/>
          <w:sz w:val="19"/>
          <w:szCs w:val="19"/>
          <w:color w:val="231F20"/>
        </w:rPr>
        <w:t>December 31, 2024 and for the year ended December 31, 2024 compared to the year ended December 31, 2023</w:t>
      </w:r>
      <w:r>
        <w:rPr>
          <w:rFonts w:ascii="Times New Roman" w:cs="Times New Roman" w:eastAsia="Times New Roman" w:hAnsi="Times New Roman"/>
          <w:sz w:val="19"/>
          <w:szCs w:val="19"/>
          <w:color w:val="383738"/>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Comparison of the Year Ended December 31, 2025 to the Year Ended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summarizes our results of operations for 2025 and 2024:</w:t>
      </w:r>
    </w:p>
    <w:p>
      <w:pPr>
        <w:spacing w:after="0" w:line="224"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jc w:val="center"/>
              <w:ind w:right="339"/>
              <w:spacing w:after="0"/>
              <w:rPr>
                <w:sz w:val="20"/>
                <w:szCs w:val="20"/>
                <w:color w:val="auto"/>
              </w:rPr>
            </w:pPr>
            <w:r>
              <w:rPr>
                <w:rFonts w:ascii="Times New Roman" w:cs="Times New Roman" w:eastAsia="Times New Roman" w:hAnsi="Times New Roman"/>
                <w:sz w:val="16"/>
                <w:szCs w:val="16"/>
                <w:b w:val="1"/>
                <w:bCs w:val="1"/>
                <w:color w:val="231F20"/>
                <w:w w:val="98"/>
              </w:rPr>
              <w:t>For the Year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5"/>
          </w:tcPr>
          <w:p>
            <w:pPr>
              <w:jc w:val="center"/>
              <w:ind w:right="339"/>
              <w:spacing w:after="0"/>
              <w:rPr>
                <w:sz w:val="20"/>
                <w:szCs w:val="20"/>
                <w:color w:val="auto"/>
              </w:rPr>
            </w:pPr>
            <w:r>
              <w:rPr>
                <w:rFonts w:ascii="Times New Roman" w:cs="Times New Roman" w:eastAsia="Times New Roman" w:hAnsi="Times New Roman"/>
                <w:sz w:val="16"/>
                <w:szCs w:val="16"/>
                <w:b w:val="1"/>
                <w:bCs w:val="1"/>
                <w:color w:val="231F20"/>
                <w:w w:val="96"/>
              </w:rPr>
              <w:t>December 31,</w:t>
            </w:r>
          </w:p>
        </w:tc>
        <w:tc>
          <w:tcPr>
            <w:tcW w:w="100" w:type="dxa"/>
            <w:vAlign w:val="bottom"/>
          </w:tcPr>
          <w:p>
            <w:pPr>
              <w:spacing w:after="0"/>
              <w:rPr>
                <w:sz w:val="17"/>
                <w:szCs w:val="17"/>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Increase</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231F20"/>
            </w:tcBorders>
          </w:tcPr>
          <w:p>
            <w:pPr>
              <w:spacing w:after="0"/>
              <w:rPr>
                <w:sz w:val="13"/>
                <w:szCs w:val="13"/>
                <w:color w:val="auto"/>
              </w:rPr>
            </w:pPr>
          </w:p>
        </w:tc>
        <w:tc>
          <w:tcPr>
            <w:tcW w:w="820" w:type="dxa"/>
            <w:vAlign w:val="bottom"/>
            <w:tcBorders>
              <w:top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800" w:type="dxa"/>
            <w:vAlign w:val="bottom"/>
            <w:tcBorders>
              <w:top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w w:val="97"/>
              </w:rPr>
              <w:t>(Decrease)</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231F20"/>
            </w:tcBorders>
          </w:tcPr>
          <w:p>
            <w:pPr>
              <w:spacing w:after="0"/>
              <w:rPr>
                <w:sz w:val="14"/>
                <w:szCs w:val="14"/>
                <w:color w:val="auto"/>
              </w:rPr>
            </w:pPr>
          </w:p>
        </w:tc>
        <w:tc>
          <w:tcPr>
            <w:tcW w:w="820" w:type="dxa"/>
            <w:vAlign w:val="bottom"/>
            <w:tcBorders>
              <w:top w:val="single" w:sz="8" w:color="231F20"/>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231F20"/>
            </w:tcBorders>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231F20"/>
                <w:w w:val="98"/>
              </w:rPr>
              <w:t>(in thousands)</w:t>
            </w:r>
          </w:p>
        </w:tc>
        <w:tc>
          <w:tcPr>
            <w:tcW w:w="220" w:type="dxa"/>
            <w:vAlign w:val="bottom"/>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860" w:type="dxa"/>
            <w:vAlign w:val="bottom"/>
            <w:tcBorders>
              <w:top w:val="single" w:sz="8" w:color="231F20"/>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Revenue</w:t>
            </w:r>
          </w:p>
        </w:tc>
        <w:tc>
          <w:tcPr>
            <w:tcW w:w="300" w:type="dxa"/>
            <w:vAlign w:val="bottom"/>
            <w:gridSpan w:val="2"/>
            <w:shd w:val="clear" w:color="auto" w:fill="E2E3E4"/>
          </w:tcPr>
          <w:p>
            <w:pPr>
              <w:jc w:val="right"/>
              <w:ind w:right="14"/>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42,727</w:t>
            </w:r>
          </w:p>
        </w:tc>
        <w:tc>
          <w:tcPr>
            <w:tcW w:w="200" w:type="dxa"/>
            <w:vAlign w:val="bottom"/>
            <w:tcBorders>
              <w:right w:val="single" w:sz="8" w:color="E2E3E4"/>
            </w:tcBorders>
            <w:shd w:val="clear" w:color="auto" w:fill="E2E3E4"/>
          </w:tcPr>
          <w:p>
            <w:pPr>
              <w:spacing w:after="0"/>
              <w:rPr>
                <w:sz w:val="19"/>
                <w:szCs w:val="19"/>
                <w:color w:val="auto"/>
              </w:rPr>
            </w:pPr>
          </w:p>
        </w:tc>
        <w:tc>
          <w:tcPr>
            <w:tcW w:w="200" w:type="dxa"/>
            <w:vAlign w:val="bottom"/>
            <w:shd w:val="clear" w:color="auto" w:fill="E2E3E4"/>
          </w:tcPr>
          <w:p>
            <w:pPr>
              <w:jc w:val="right"/>
              <w:ind w:right="10"/>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Borders>
              <w:right w:val="single" w:sz="8" w:color="E2E3E4"/>
            </w:tcBorders>
            <w:gridSpan w:val="2"/>
            <w:shd w:val="clear" w:color="auto" w:fill="E2E3E4"/>
          </w:tcPr>
          <w:p>
            <w:pPr>
              <w:jc w:val="right"/>
              <w:ind w:right="139"/>
              <w:spacing w:after="0"/>
              <w:rPr>
                <w:sz w:val="20"/>
                <w:szCs w:val="20"/>
                <w:color w:val="auto"/>
              </w:rPr>
            </w:pPr>
            <w:r>
              <w:rPr>
                <w:rFonts w:ascii="Times New Roman" w:cs="Times New Roman" w:eastAsia="Times New Roman" w:hAnsi="Times New Roman"/>
                <w:sz w:val="19"/>
                <w:szCs w:val="19"/>
                <w:color w:val="231F20"/>
              </w:rPr>
              <w:t>108,302</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gridSpan w:val="2"/>
            <w:shd w:val="clear" w:color="auto" w:fill="E2E3E4"/>
          </w:tcPr>
          <w:p>
            <w:pPr>
              <w:jc w:val="right"/>
              <w:ind w:right="40"/>
              <w:spacing w:after="0"/>
              <w:rPr>
                <w:sz w:val="20"/>
                <w:szCs w:val="20"/>
                <w:color w:val="auto"/>
              </w:rPr>
            </w:pPr>
            <w:r>
              <w:rPr>
                <w:rFonts w:ascii="Times New Roman" w:cs="Times New Roman" w:eastAsia="Times New Roman" w:hAnsi="Times New Roman"/>
                <w:sz w:val="19"/>
                <w:szCs w:val="19"/>
                <w:color w:val="231F20"/>
              </w:rPr>
              <w:t>(65,575)</w:t>
            </w:r>
          </w:p>
        </w:tc>
        <w:tc>
          <w:tcPr>
            <w:tcW w:w="0" w:type="dxa"/>
            <w:vAlign w:val="bottom"/>
          </w:tcPr>
          <w:p>
            <w:pPr>
              <w:spacing w:after="0"/>
              <w:rPr>
                <w:sz w:val="1"/>
                <w:szCs w:val="1"/>
                <w:color w:val="auto"/>
              </w:rPr>
            </w:pPr>
          </w:p>
        </w:tc>
      </w:t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231F20"/>
              </w:rPr>
              <w:t>Operating 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120" w:type="dxa"/>
            <w:vAlign w:val="bottom"/>
            <w:tcBorders>
              <w:right w:val="single" w:sz="8" w:color="E2E3E4"/>
            </w:tcBorders>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2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182,779</w:t>
            </w:r>
          </w:p>
        </w:tc>
        <w:tc>
          <w:tcPr>
            <w:tcW w:w="200" w:type="dxa"/>
            <w:vAlign w:val="bottom"/>
            <w:tcBorders>
              <w:right w:val="single" w:sz="8" w:color="E2E3E4"/>
            </w:tcBorders>
            <w:shd w:val="clear" w:color="auto" w:fill="E2E3E4"/>
          </w:tcPr>
          <w:p>
            <w:pPr>
              <w:spacing w:after="0"/>
              <w:rPr>
                <w:sz w:val="19"/>
                <w:szCs w:val="19"/>
                <w:color w:val="auto"/>
              </w:rPr>
            </w:pPr>
          </w:p>
        </w:tc>
        <w:tc>
          <w:tcPr>
            <w:tcW w:w="200" w:type="dxa"/>
            <w:vAlign w:val="bottom"/>
            <w:shd w:val="clear" w:color="auto" w:fill="E2E3E4"/>
          </w:tcPr>
          <w:p>
            <w:pPr>
              <w:spacing w:after="0"/>
              <w:rPr>
                <w:sz w:val="19"/>
                <w:szCs w:val="19"/>
                <w:color w:val="auto"/>
              </w:rPr>
            </w:pPr>
          </w:p>
        </w:tc>
        <w:tc>
          <w:tcPr>
            <w:tcW w:w="1020" w:type="dxa"/>
            <w:vAlign w:val="bottom"/>
            <w:tcBorders>
              <w:right w:val="single" w:sz="8" w:color="E2E3E4"/>
            </w:tcBorders>
            <w:gridSpan w:val="2"/>
            <w:shd w:val="clear" w:color="auto" w:fill="E2E3E4"/>
          </w:tcPr>
          <w:p>
            <w:pPr>
              <w:jc w:val="right"/>
              <w:ind w:right="139"/>
              <w:spacing w:after="0"/>
              <w:rPr>
                <w:sz w:val="20"/>
                <w:szCs w:val="20"/>
                <w:color w:val="auto"/>
              </w:rPr>
            </w:pPr>
            <w:r>
              <w:rPr>
                <w:rFonts w:ascii="Times New Roman" w:cs="Times New Roman" w:eastAsia="Times New Roman" w:hAnsi="Times New Roman"/>
                <w:sz w:val="19"/>
                <w:szCs w:val="19"/>
                <w:color w:val="231F20"/>
              </w:rPr>
              <w:t>159,682</w:t>
            </w:r>
          </w:p>
        </w:tc>
        <w:tc>
          <w:tcPr>
            <w:tcW w:w="100" w:type="dxa"/>
            <w:vAlign w:val="bottom"/>
            <w:shd w:val="clear" w:color="auto" w:fill="E2E3E4"/>
          </w:tcPr>
          <w:p>
            <w:pPr>
              <w:spacing w:after="0"/>
              <w:rPr>
                <w:sz w:val="19"/>
                <w:szCs w:val="19"/>
                <w:color w:val="auto"/>
              </w:rPr>
            </w:pPr>
          </w:p>
        </w:tc>
        <w:tc>
          <w:tcPr>
            <w:tcW w:w="960" w:type="dxa"/>
            <w:vAlign w:val="bottom"/>
            <w:gridSpan w:val="2"/>
            <w:shd w:val="clear" w:color="auto" w:fill="E2E3E4"/>
          </w:tcPr>
          <w:p>
            <w:pPr>
              <w:jc w:val="right"/>
              <w:ind w:right="100"/>
              <w:spacing w:after="0"/>
              <w:rPr>
                <w:sz w:val="20"/>
                <w:szCs w:val="20"/>
                <w:color w:val="auto"/>
              </w:rPr>
            </w:pPr>
            <w:r>
              <w:rPr>
                <w:rFonts w:ascii="Times New Roman" w:cs="Times New Roman" w:eastAsia="Times New Roman" w:hAnsi="Times New Roman"/>
                <w:sz w:val="19"/>
                <w:szCs w:val="19"/>
                <w:color w:val="231F20"/>
              </w:rPr>
              <w:t>23,097</w:t>
            </w:r>
          </w:p>
        </w:tc>
        <w:tc>
          <w:tcPr>
            <w:tcW w:w="0" w:type="dxa"/>
            <w:vAlign w:val="bottom"/>
          </w:tcPr>
          <w:p>
            <w:pPr>
              <w:spacing w:after="0"/>
              <w:rPr>
                <w:sz w:val="1"/>
                <w:szCs w:val="1"/>
                <w:color w:val="auto"/>
              </w:rPr>
            </w:pPr>
          </w:p>
        </w:tc>
      </w:tr>
      <w:tr>
        <w:trPr>
          <w:trHeight w:val="223"/>
        </w:trPr>
        <w:tc>
          <w:tcPr>
            <w:tcW w:w="478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General and administrative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75,331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59,023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16,308</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operating expenses</w:t>
            </w:r>
          </w:p>
        </w:tc>
        <w:tc>
          <w:tcPr>
            <w:tcW w:w="120" w:type="dxa"/>
            <w:vAlign w:val="bottom"/>
            <w:tcBorders>
              <w:right w:val="single" w:sz="8" w:color="E2E3E4"/>
            </w:tcBorders>
            <w:shd w:val="clear" w:color="auto" w:fill="E2E3E4"/>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820" w:type="dxa"/>
            <w:vAlign w:val="bottom"/>
            <w:tcBorders>
              <w:right w:val="single" w:sz="8" w:color="E2E3E4"/>
            </w:tcBorders>
            <w:shd w:val="clear" w:color="auto" w:fill="231F20"/>
          </w:tcPr>
          <w:p>
            <w:pPr>
              <w:spacing w:after="0" w:line="20" w:lineRule="exact"/>
              <w:rPr>
                <w:sz w:val="1"/>
                <w:szCs w:val="1"/>
                <w:color w:val="auto"/>
              </w:rPr>
            </w:pPr>
          </w:p>
        </w:tc>
        <w:tc>
          <w:tcPr>
            <w:tcW w:w="200" w:type="dxa"/>
            <w:vAlign w:val="bottom"/>
            <w:tcBorders>
              <w:right w:val="single" w:sz="8" w:color="E2E3E4"/>
            </w:tcBorders>
            <w:shd w:val="clear" w:color="auto" w:fill="E2E3E4"/>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tcBorders>
              <w:right w:val="single" w:sz="8" w:color="E2E3E4"/>
            </w:tcBorders>
            <w:shd w:val="clear" w:color="auto" w:fill="E2E3E4"/>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00" w:type="dxa"/>
            <w:vAlign w:val="bottom"/>
            <w:shd w:val="clear" w:color="auto" w:fill="E2E3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80" w:type="dxa"/>
            <w:vAlign w:val="bottom"/>
            <w:vMerge w:val="continue"/>
            <w:shd w:val="clear" w:color="auto" w:fill="E2E3E4"/>
          </w:tcPr>
          <w:p>
            <w:pPr>
              <w:spacing w:after="0"/>
              <w:rPr>
                <w:sz w:val="18"/>
                <w:szCs w:val="18"/>
                <w:color w:val="auto"/>
              </w:rPr>
            </w:pPr>
          </w:p>
        </w:tc>
        <w:tc>
          <w:tcPr>
            <w:tcW w:w="120" w:type="dxa"/>
            <w:vAlign w:val="bottom"/>
            <w:tcBorders>
              <w:right w:val="single" w:sz="8" w:color="E2E3E4"/>
            </w:tcBorders>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820" w:type="dxa"/>
            <w:vAlign w:val="bottom"/>
            <w:tcBorders>
              <w:right w:val="single" w:sz="8" w:color="E2E3E4"/>
            </w:tcBorders>
            <w:shd w:val="clear" w:color="auto" w:fill="E2E3E4"/>
          </w:tcPr>
          <w:p>
            <w:pPr>
              <w:jc w:val="right"/>
              <w:spacing w:after="0" w:line="213" w:lineRule="exact"/>
              <w:rPr>
                <w:sz w:val="20"/>
                <w:szCs w:val="20"/>
                <w:color w:val="auto"/>
              </w:rPr>
            </w:pPr>
            <w:r>
              <w:rPr>
                <w:rFonts w:ascii="Times New Roman" w:cs="Times New Roman" w:eastAsia="Times New Roman" w:hAnsi="Times New Roman"/>
                <w:sz w:val="19"/>
                <w:szCs w:val="19"/>
                <w:color w:val="231F20"/>
              </w:rPr>
              <w:t>258,110</w:t>
            </w:r>
          </w:p>
        </w:tc>
        <w:tc>
          <w:tcPr>
            <w:tcW w:w="200" w:type="dxa"/>
            <w:vAlign w:val="bottom"/>
            <w:tcBorders>
              <w:right w:val="single" w:sz="8" w:color="E2E3E4"/>
            </w:tcBorders>
            <w:shd w:val="clear" w:color="auto" w:fill="E2E3E4"/>
          </w:tcPr>
          <w:p>
            <w:pPr>
              <w:spacing w:after="0"/>
              <w:rPr>
                <w:sz w:val="18"/>
                <w:szCs w:val="18"/>
                <w:color w:val="auto"/>
              </w:rPr>
            </w:pPr>
          </w:p>
        </w:tc>
        <w:tc>
          <w:tcPr>
            <w:tcW w:w="200" w:type="dxa"/>
            <w:vAlign w:val="bottom"/>
            <w:shd w:val="clear" w:color="auto" w:fill="E2E3E4"/>
          </w:tcPr>
          <w:p>
            <w:pPr>
              <w:spacing w:after="0"/>
              <w:rPr>
                <w:sz w:val="18"/>
                <w:szCs w:val="18"/>
                <w:color w:val="auto"/>
              </w:rPr>
            </w:pPr>
          </w:p>
        </w:tc>
        <w:tc>
          <w:tcPr>
            <w:tcW w:w="800" w:type="dxa"/>
            <w:vAlign w:val="bottom"/>
            <w:shd w:val="clear" w:color="auto" w:fill="E2E3E4"/>
          </w:tcPr>
          <w:p>
            <w:pPr>
              <w:jc w:val="right"/>
              <w:spacing w:after="0" w:line="213" w:lineRule="exact"/>
              <w:rPr>
                <w:sz w:val="20"/>
                <w:szCs w:val="20"/>
                <w:color w:val="auto"/>
              </w:rPr>
            </w:pPr>
            <w:r>
              <w:rPr>
                <w:rFonts w:ascii="Times New Roman" w:cs="Times New Roman" w:eastAsia="Times New Roman" w:hAnsi="Times New Roman"/>
                <w:sz w:val="19"/>
                <w:szCs w:val="19"/>
                <w:color w:val="231F20"/>
              </w:rPr>
              <w:t>218,705</w:t>
            </w:r>
          </w:p>
        </w:tc>
        <w:tc>
          <w:tcPr>
            <w:tcW w:w="220" w:type="dxa"/>
            <w:vAlign w:val="bottom"/>
            <w:tcBorders>
              <w:right w:val="single" w:sz="8" w:color="E2E3E4"/>
            </w:tcBorders>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60" w:type="dxa"/>
            <w:vAlign w:val="bottom"/>
            <w:gridSpan w:val="2"/>
            <w:shd w:val="clear" w:color="auto" w:fill="E2E3E4"/>
          </w:tcPr>
          <w:p>
            <w:pPr>
              <w:jc w:val="right"/>
              <w:ind w:right="100"/>
              <w:spacing w:after="0" w:line="213" w:lineRule="exact"/>
              <w:rPr>
                <w:sz w:val="20"/>
                <w:szCs w:val="20"/>
                <w:color w:val="auto"/>
              </w:rPr>
            </w:pPr>
            <w:r>
              <w:rPr>
                <w:rFonts w:ascii="Times New Roman" w:cs="Times New Roman" w:eastAsia="Times New Roman" w:hAnsi="Times New Roman"/>
                <w:sz w:val="19"/>
                <w:szCs w:val="19"/>
                <w:color w:val="231F20"/>
              </w:rPr>
              <w:t>39,405</w:t>
            </w:r>
          </w:p>
        </w:tc>
        <w:tc>
          <w:tcPr>
            <w:tcW w:w="0" w:type="dxa"/>
            <w:vAlign w:val="bottom"/>
          </w:tcPr>
          <w:p>
            <w:pPr>
              <w:spacing w:after="0"/>
              <w:rPr>
                <w:sz w:val="1"/>
                <w:szCs w:val="1"/>
                <w:color w:val="auto"/>
              </w:rPr>
            </w:pPr>
          </w:p>
        </w:tc>
      </w:tr>
      <w:tr>
        <w:trPr>
          <w:trHeight w:val="213"/>
        </w:trPr>
        <w:tc>
          <w:tcPr>
            <w:tcW w:w="4780" w:type="dxa"/>
            <w:vAlign w:val="bottom"/>
          </w:tcPr>
          <w:p>
            <w:pPr>
              <w:spacing w:after="0" w:line="213" w:lineRule="exact"/>
              <w:rPr>
                <w:sz w:val="20"/>
                <w:szCs w:val="20"/>
                <w:color w:val="auto"/>
              </w:rPr>
            </w:pPr>
            <w:r>
              <w:rPr>
                <w:rFonts w:ascii="Times New Roman" w:cs="Times New Roman" w:eastAsia="Times New Roman" w:hAnsi="Times New Roman"/>
                <w:sz w:val="19"/>
                <w:szCs w:val="19"/>
                <w:color w:val="231F20"/>
              </w:rPr>
              <w:t>Loss from operations</w:t>
            </w:r>
          </w:p>
        </w:tc>
        <w:tc>
          <w:tcPr>
            <w:tcW w:w="120" w:type="dxa"/>
            <w:vAlign w:val="bottom"/>
          </w:tcPr>
          <w:p>
            <w:pPr>
              <w:spacing w:after="0"/>
              <w:rPr>
                <w:sz w:val="18"/>
                <w:szCs w:val="18"/>
                <w:color w:val="auto"/>
              </w:rPr>
            </w:pPr>
          </w:p>
        </w:tc>
        <w:tc>
          <w:tcPr>
            <w:tcW w:w="180" w:type="dxa"/>
            <w:vAlign w:val="bottom"/>
            <w:tcBorders>
              <w:top w:val="single" w:sz="8" w:color="231F20"/>
            </w:tcBorders>
          </w:tcPr>
          <w:p>
            <w:pPr>
              <w:spacing w:after="0"/>
              <w:rPr>
                <w:sz w:val="18"/>
                <w:szCs w:val="18"/>
                <w:color w:val="auto"/>
              </w:rPr>
            </w:pPr>
          </w:p>
        </w:tc>
        <w:tc>
          <w:tcPr>
            <w:tcW w:w="820" w:type="dxa"/>
            <w:vAlign w:val="bottom"/>
            <w:tcBorders>
              <w:top w:val="single" w:sz="8" w:color="231F20"/>
            </w:tcBorders>
          </w:tcPr>
          <w:p>
            <w:pPr>
              <w:jc w:val="right"/>
              <w:spacing w:after="0" w:line="213" w:lineRule="exact"/>
              <w:rPr>
                <w:sz w:val="20"/>
                <w:szCs w:val="20"/>
                <w:color w:val="auto"/>
              </w:rPr>
            </w:pPr>
            <w:r>
              <w:rPr>
                <w:rFonts w:ascii="Times New Roman" w:cs="Times New Roman" w:eastAsia="Times New Roman" w:hAnsi="Times New Roman"/>
                <w:sz w:val="19"/>
                <w:szCs w:val="19"/>
                <w:color w:val="231F20"/>
              </w:rPr>
              <w:t>(215,383)</w:t>
            </w:r>
          </w:p>
        </w:tc>
        <w:tc>
          <w:tcPr>
            <w:tcW w:w="200" w:type="dxa"/>
            <w:vAlign w:val="bottom"/>
          </w:tcPr>
          <w:p>
            <w:pPr>
              <w:spacing w:after="0"/>
              <w:rPr>
                <w:sz w:val="18"/>
                <w:szCs w:val="18"/>
                <w:color w:val="auto"/>
              </w:rPr>
            </w:pPr>
          </w:p>
        </w:tc>
        <w:tc>
          <w:tcPr>
            <w:tcW w:w="200" w:type="dxa"/>
            <w:vAlign w:val="bottom"/>
            <w:tcBorders>
              <w:top w:val="single" w:sz="8" w:color="231F20"/>
            </w:tcBorders>
          </w:tcPr>
          <w:p>
            <w:pPr>
              <w:spacing w:after="0"/>
              <w:rPr>
                <w:sz w:val="18"/>
                <w:szCs w:val="18"/>
                <w:color w:val="auto"/>
              </w:rPr>
            </w:pPr>
          </w:p>
        </w:tc>
        <w:tc>
          <w:tcPr>
            <w:tcW w:w="800" w:type="dxa"/>
            <w:vAlign w:val="bottom"/>
            <w:tcBorders>
              <w:top w:val="single" w:sz="8" w:color="231F20"/>
            </w:tcBorders>
          </w:tcPr>
          <w:p>
            <w:pPr>
              <w:jc w:val="right"/>
              <w:spacing w:after="0" w:line="213" w:lineRule="exact"/>
              <w:rPr>
                <w:sz w:val="20"/>
                <w:szCs w:val="20"/>
                <w:color w:val="auto"/>
              </w:rPr>
            </w:pPr>
            <w:r>
              <w:rPr>
                <w:rFonts w:ascii="Times New Roman" w:cs="Times New Roman" w:eastAsia="Times New Roman" w:hAnsi="Times New Roman"/>
                <w:sz w:val="19"/>
                <w:szCs w:val="19"/>
                <w:color w:val="231F20"/>
              </w:rPr>
              <w:t>(110,403)</w:t>
            </w:r>
          </w:p>
        </w:tc>
        <w:tc>
          <w:tcPr>
            <w:tcW w:w="220" w:type="dxa"/>
            <w:vAlign w:val="bottom"/>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860" w:type="dxa"/>
            <w:vAlign w:val="bottom"/>
            <w:tcBorders>
              <w:top w:val="single" w:sz="8" w:color="231F20"/>
            </w:tcBorders>
          </w:tcPr>
          <w:p>
            <w:pPr>
              <w:jc w:val="right"/>
              <w:spacing w:after="0" w:line="213" w:lineRule="exact"/>
              <w:rPr>
                <w:sz w:val="20"/>
                <w:szCs w:val="20"/>
                <w:color w:val="auto"/>
              </w:rPr>
            </w:pPr>
            <w:r>
              <w:rPr>
                <w:rFonts w:ascii="Times New Roman" w:cs="Times New Roman" w:eastAsia="Times New Roman" w:hAnsi="Times New Roman"/>
                <w:sz w:val="19"/>
                <w:szCs w:val="19"/>
                <w:color w:val="231F20"/>
              </w:rPr>
              <w:t>104,980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other income, net</w:t>
            </w:r>
          </w:p>
        </w:tc>
        <w:tc>
          <w:tcPr>
            <w:tcW w:w="120" w:type="dxa"/>
            <w:vAlign w:val="bottom"/>
            <w:tcBorders>
              <w:right w:val="single" w:sz="8" w:color="E2E3E4"/>
            </w:tcBorders>
            <w:shd w:val="clear" w:color="auto" w:fill="E2E3E4"/>
          </w:tcPr>
          <w:p>
            <w:pPr>
              <w:spacing w:after="0"/>
              <w:rPr>
                <w:sz w:val="21"/>
                <w:szCs w:val="21"/>
                <w:color w:val="auto"/>
              </w:rPr>
            </w:pPr>
          </w:p>
        </w:tc>
        <w:tc>
          <w:tcPr>
            <w:tcW w:w="180" w:type="dxa"/>
            <w:vAlign w:val="bottom"/>
            <w:shd w:val="clear" w:color="auto" w:fill="E2E3E4"/>
          </w:tcPr>
          <w:p>
            <w:pPr>
              <w:spacing w:after="0"/>
              <w:rPr>
                <w:sz w:val="21"/>
                <w:szCs w:val="21"/>
                <w:color w:val="auto"/>
              </w:rPr>
            </w:pPr>
          </w:p>
        </w:tc>
        <w:tc>
          <w:tcPr>
            <w:tcW w:w="82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11,005</w:t>
            </w:r>
          </w:p>
        </w:tc>
        <w:tc>
          <w:tcPr>
            <w:tcW w:w="200" w:type="dxa"/>
            <w:vAlign w:val="bottom"/>
            <w:tcBorders>
              <w:right w:val="single" w:sz="8" w:color="E2E3E4"/>
            </w:tcBorders>
            <w:shd w:val="clear" w:color="auto" w:fill="E2E3E4"/>
          </w:tcPr>
          <w:p>
            <w:pPr>
              <w:spacing w:after="0"/>
              <w:rPr>
                <w:sz w:val="21"/>
                <w:szCs w:val="21"/>
                <w:color w:val="auto"/>
              </w:rPr>
            </w:pPr>
          </w:p>
        </w:tc>
        <w:tc>
          <w:tcPr>
            <w:tcW w:w="200" w:type="dxa"/>
            <w:vAlign w:val="bottom"/>
            <w:shd w:val="clear" w:color="auto" w:fill="E2E3E4"/>
          </w:tcPr>
          <w:p>
            <w:pPr>
              <w:spacing w:after="0"/>
              <w:rPr>
                <w:sz w:val="21"/>
                <w:szCs w:val="21"/>
                <w:color w:val="auto"/>
              </w:rPr>
            </w:pPr>
          </w:p>
        </w:tc>
        <w:tc>
          <w:tcPr>
            <w:tcW w:w="1020" w:type="dxa"/>
            <w:vAlign w:val="bottom"/>
            <w:tcBorders>
              <w:right w:val="single" w:sz="8" w:color="E2E3E4"/>
            </w:tcBorders>
            <w:gridSpan w:val="2"/>
            <w:shd w:val="clear" w:color="auto" w:fill="E2E3E4"/>
          </w:tcPr>
          <w:p>
            <w:pPr>
              <w:jc w:val="right"/>
              <w:ind w:right="139"/>
              <w:spacing w:after="0"/>
              <w:rPr>
                <w:sz w:val="20"/>
                <w:szCs w:val="20"/>
                <w:color w:val="auto"/>
              </w:rPr>
            </w:pPr>
            <w:r>
              <w:rPr>
                <w:rFonts w:ascii="Times New Roman" w:cs="Times New Roman" w:eastAsia="Times New Roman" w:hAnsi="Times New Roman"/>
                <w:sz w:val="19"/>
                <w:szCs w:val="19"/>
                <w:color w:val="231F20"/>
              </w:rPr>
              <w:t>13,395</w:t>
            </w:r>
          </w:p>
        </w:tc>
        <w:tc>
          <w:tcPr>
            <w:tcW w:w="100" w:type="dxa"/>
            <w:vAlign w:val="bottom"/>
            <w:shd w:val="clear" w:color="auto" w:fill="E2E3E4"/>
          </w:tcPr>
          <w:p>
            <w:pPr>
              <w:spacing w:after="0"/>
              <w:rPr>
                <w:sz w:val="21"/>
                <w:szCs w:val="21"/>
                <w:color w:val="auto"/>
              </w:rPr>
            </w:pPr>
          </w:p>
        </w:tc>
        <w:tc>
          <w:tcPr>
            <w:tcW w:w="960" w:type="dxa"/>
            <w:vAlign w:val="bottom"/>
            <w:gridSpan w:val="2"/>
            <w:shd w:val="clear" w:color="auto" w:fill="E2E3E4"/>
          </w:tcPr>
          <w:p>
            <w:pPr>
              <w:jc w:val="right"/>
              <w:ind w:right="40"/>
              <w:spacing w:after="0"/>
              <w:rPr>
                <w:sz w:val="20"/>
                <w:szCs w:val="20"/>
                <w:color w:val="auto"/>
              </w:rPr>
            </w:pPr>
            <w:r>
              <w:rPr>
                <w:rFonts w:ascii="Times New Roman" w:cs="Times New Roman" w:eastAsia="Times New Roman" w:hAnsi="Times New Roman"/>
                <w:sz w:val="19"/>
                <w:szCs w:val="19"/>
                <w:color w:val="231F20"/>
              </w:rPr>
              <w:t>(2,390)</w:t>
            </w:r>
          </w:p>
        </w:tc>
        <w:tc>
          <w:tcPr>
            <w:tcW w:w="0" w:type="dxa"/>
            <w:vAlign w:val="bottom"/>
          </w:tcPr>
          <w:p>
            <w:pPr>
              <w:spacing w:after="0"/>
              <w:rPr>
                <w:sz w:val="1"/>
                <w:szCs w:val="1"/>
                <w:color w:val="auto"/>
              </w:rPr>
            </w:pPr>
          </w:p>
        </w:tc>
      </w:tr>
      <w:tr>
        <w:trPr>
          <w:trHeight w:val="193"/>
        </w:trPr>
        <w:tc>
          <w:tcPr>
            <w:tcW w:w="4780" w:type="dxa"/>
            <w:vAlign w:val="bottom"/>
            <w:tcBorders>
              <w:top w:val="single" w:sz="8" w:color="E2E3E4"/>
            </w:tcBorders>
          </w:tcPr>
          <w:p>
            <w:pPr>
              <w:spacing w:after="0" w:line="193" w:lineRule="exact"/>
              <w:rPr>
                <w:sz w:val="20"/>
                <w:szCs w:val="20"/>
                <w:color w:val="auto"/>
              </w:rPr>
            </w:pPr>
            <w:r>
              <w:rPr>
                <w:rFonts w:ascii="Times New Roman" w:cs="Times New Roman" w:eastAsia="Times New Roman" w:hAnsi="Times New Roman"/>
                <w:sz w:val="19"/>
                <w:szCs w:val="19"/>
                <w:color w:val="231F20"/>
              </w:rPr>
              <w:t>Loss before income taxes</w:t>
            </w:r>
          </w:p>
        </w:tc>
        <w:tc>
          <w:tcPr>
            <w:tcW w:w="120" w:type="dxa"/>
            <w:vAlign w:val="bottom"/>
            <w:tcBorders>
              <w:top w:val="single" w:sz="8" w:color="E2E3E4"/>
            </w:tcBorders>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(204,378)</w:t>
            </w:r>
          </w:p>
        </w:tc>
        <w:tc>
          <w:tcPr>
            <w:tcW w:w="200" w:type="dxa"/>
            <w:vAlign w:val="bottom"/>
            <w:tcBorders>
              <w:top w:val="single" w:sz="8" w:color="E2E3E4"/>
            </w:tcBorders>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800" w:type="dxa"/>
            <w:vAlign w:val="bottom"/>
            <w:tcBorders>
              <w:top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(97,008)</w:t>
            </w:r>
          </w:p>
        </w:tc>
        <w:tc>
          <w:tcPr>
            <w:tcW w:w="220" w:type="dxa"/>
            <w:vAlign w:val="bottom"/>
            <w:tcBorders>
              <w:top w:val="single" w:sz="8" w:color="E2E3E4"/>
            </w:tcBorders>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jc w:val="right"/>
              <w:spacing w:after="0" w:line="193" w:lineRule="exact"/>
              <w:rPr>
                <w:sz w:val="20"/>
                <w:szCs w:val="20"/>
                <w:color w:val="auto"/>
              </w:rPr>
            </w:pPr>
            <w:r>
              <w:rPr>
                <w:rFonts w:ascii="Times New Roman" w:cs="Times New Roman" w:eastAsia="Times New Roman" w:hAnsi="Times New Roman"/>
                <w:sz w:val="19"/>
                <w:szCs w:val="19"/>
                <w:color w:val="231F20"/>
              </w:rPr>
              <w:t>107,370</w:t>
            </w:r>
          </w:p>
        </w:tc>
        <w:tc>
          <w:tcPr>
            <w:tcW w:w="100" w:type="dxa"/>
            <w:vAlign w:val="bottom"/>
            <w:tcBorders>
              <w:top w:val="single" w:sz="8" w:color="E2E3E4"/>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8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Income tax benefit</w:t>
            </w:r>
          </w:p>
        </w:tc>
        <w:tc>
          <w:tcPr>
            <w:tcW w:w="120" w:type="dxa"/>
            <w:vAlign w:val="bottom"/>
            <w:tcBorders>
              <w:right w:val="single" w:sz="8" w:color="E2E3E4"/>
            </w:tcBorders>
            <w:shd w:val="clear" w:color="auto" w:fill="E2E3E4"/>
          </w:tcPr>
          <w:p>
            <w:pPr>
              <w:spacing w:after="0"/>
              <w:rPr>
                <w:sz w:val="20"/>
                <w:szCs w:val="20"/>
                <w:color w:val="auto"/>
              </w:rPr>
            </w:pPr>
          </w:p>
        </w:tc>
        <w:tc>
          <w:tcPr>
            <w:tcW w:w="180" w:type="dxa"/>
            <w:vAlign w:val="bottom"/>
            <w:shd w:val="clear" w:color="auto" w:fill="E2E3E4"/>
          </w:tcPr>
          <w:p>
            <w:pPr>
              <w:spacing w:after="0"/>
              <w:rPr>
                <w:sz w:val="20"/>
                <w:szCs w:val="20"/>
                <w:color w:val="auto"/>
              </w:rPr>
            </w:pPr>
          </w:p>
        </w:tc>
        <w:tc>
          <w:tcPr>
            <w:tcW w:w="1020" w:type="dxa"/>
            <w:vAlign w:val="bottom"/>
            <w:tcBorders>
              <w:right w:val="single" w:sz="8" w:color="E2E3E4"/>
            </w:tcBorders>
            <w:gridSpan w:val="2"/>
            <w:shd w:val="clear" w:color="auto" w:fill="E2E3E4"/>
          </w:tcPr>
          <w:p>
            <w:pPr>
              <w:jc w:val="right"/>
              <w:ind w:right="182"/>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E2E3E4"/>
          </w:tcPr>
          <w:p>
            <w:pPr>
              <w:spacing w:after="0"/>
              <w:rPr>
                <w:sz w:val="20"/>
                <w:szCs w:val="20"/>
                <w:color w:val="auto"/>
              </w:rPr>
            </w:pPr>
          </w:p>
        </w:tc>
        <w:tc>
          <w:tcPr>
            <w:tcW w:w="1020" w:type="dxa"/>
            <w:vAlign w:val="bottom"/>
            <w:tcBorders>
              <w:right w:val="single" w:sz="8" w:color="E2E3E4"/>
            </w:tcBorders>
            <w:gridSpan w:val="2"/>
            <w:shd w:val="clear" w:color="auto" w:fill="E2E3E4"/>
          </w:tcPr>
          <w:p>
            <w:pPr>
              <w:jc w:val="right"/>
              <w:ind w:right="139"/>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E2E3E4"/>
          </w:tcPr>
          <w:p>
            <w:pPr>
              <w:spacing w:after="0"/>
              <w:rPr>
                <w:sz w:val="20"/>
                <w:szCs w:val="20"/>
                <w:color w:val="auto"/>
              </w:rPr>
            </w:pPr>
          </w:p>
        </w:tc>
        <w:tc>
          <w:tcPr>
            <w:tcW w:w="960" w:type="dxa"/>
            <w:vAlign w:val="bottom"/>
            <w:gridSpan w:val="2"/>
            <w:shd w:val="clear" w:color="auto" w:fill="E2E3E4"/>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195"/>
        </w:trPr>
        <w:tc>
          <w:tcPr>
            <w:tcW w:w="4780" w:type="dxa"/>
            <w:vAlign w:val="bottom"/>
            <w:tcBorders>
              <w:top w:val="single" w:sz="8" w:color="E2E3E4"/>
            </w:tcBorders>
          </w:tcPr>
          <w:p>
            <w:pPr>
              <w:spacing w:after="0" w:line="195" w:lineRule="exact"/>
              <w:rPr>
                <w:sz w:val="20"/>
                <w:szCs w:val="20"/>
                <w:color w:val="auto"/>
              </w:rPr>
            </w:pPr>
            <w:r>
              <w:rPr>
                <w:rFonts w:ascii="Times New Roman" w:cs="Times New Roman" w:eastAsia="Times New Roman" w:hAnsi="Times New Roman"/>
                <w:sz w:val="19"/>
                <w:szCs w:val="19"/>
                <w:color w:val="231F20"/>
              </w:rPr>
              <w:t>Net loss</w:t>
            </w:r>
          </w:p>
        </w:tc>
        <w:tc>
          <w:tcPr>
            <w:tcW w:w="120" w:type="dxa"/>
            <w:vAlign w:val="bottom"/>
            <w:tcBorders>
              <w:top w:val="single" w:sz="8" w:color="E2E3E4"/>
            </w:tcBorders>
          </w:tcPr>
          <w:p>
            <w:pPr>
              <w:spacing w:after="0"/>
              <w:rPr>
                <w:sz w:val="16"/>
                <w:szCs w:val="16"/>
                <w:color w:val="auto"/>
              </w:rPr>
            </w:pPr>
          </w:p>
        </w:tc>
        <w:tc>
          <w:tcPr>
            <w:tcW w:w="180" w:type="dxa"/>
            <w:vAlign w:val="bottom"/>
            <w:tcBorders>
              <w:top w:val="single" w:sz="8" w:color="231F20"/>
              <w:bottom w:val="single" w:sz="8" w:color="231F20"/>
            </w:tcBorders>
          </w:tcPr>
          <w:p>
            <w:pPr>
              <w:jc w:val="right"/>
              <w:ind w:right="14"/>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19"/>
                <w:szCs w:val="19"/>
                <w:color w:val="231F20"/>
              </w:rPr>
              <w:t>(204,378</w:t>
            </w:r>
          </w:p>
        </w:tc>
        <w:tc>
          <w:tcPr>
            <w:tcW w:w="200" w:type="dxa"/>
            <w:vAlign w:val="bottom"/>
            <w:tcBorders>
              <w:top w:val="single" w:sz="8" w:color="E2E3E4"/>
            </w:tcBorders>
          </w:tcPr>
          <w:p>
            <w:pPr>
              <w:jc w:val="right"/>
              <w:ind w:right="122"/>
              <w:spacing w:after="0"/>
              <w:rPr>
                <w:sz w:val="20"/>
                <w:szCs w:val="20"/>
                <w:color w:val="auto"/>
              </w:rPr>
            </w:pPr>
            <w:r>
              <w:rPr>
                <w:rFonts w:ascii="Times New Roman" w:cs="Times New Roman" w:eastAsia="Times New Roman" w:hAnsi="Times New Roman"/>
                <w:sz w:val="8"/>
                <w:szCs w:val="8"/>
                <w:color w:val="231F20"/>
                <w:w w:val="73"/>
              </w:rPr>
              <w:t>)</w:t>
            </w:r>
          </w:p>
        </w:tc>
        <w:tc>
          <w:tcPr>
            <w:tcW w:w="200" w:type="dxa"/>
            <w:vAlign w:val="bottom"/>
            <w:tcBorders>
              <w:top w:val="single" w:sz="8" w:color="231F20"/>
              <w:bottom w:val="single" w:sz="8" w:color="231F20"/>
            </w:tcBorders>
          </w:tcPr>
          <w:p>
            <w:pPr>
              <w:jc w:val="right"/>
              <w:ind w:right="10"/>
              <w:spacing w:after="0" w:line="195"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top w:val="single" w:sz="8" w:color="231F20"/>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19"/>
                <w:szCs w:val="19"/>
                <w:color w:val="231F20"/>
              </w:rPr>
              <w:t>(97,008</w:t>
            </w:r>
          </w:p>
        </w:tc>
        <w:tc>
          <w:tcPr>
            <w:tcW w:w="220" w:type="dxa"/>
            <w:vAlign w:val="bottom"/>
            <w:tcBorders>
              <w:top w:val="single" w:sz="8" w:color="E2E3E4"/>
            </w:tcBorders>
          </w:tcPr>
          <w:p>
            <w:pPr>
              <w:jc w:val="right"/>
              <w:ind w:right="79"/>
              <w:spacing w:after="0"/>
              <w:rPr>
                <w:sz w:val="20"/>
                <w:szCs w:val="20"/>
                <w:color w:val="auto"/>
              </w:rPr>
            </w:pPr>
            <w:r>
              <w:rPr>
                <w:rFonts w:ascii="Times New Roman" w:cs="Times New Roman" w:eastAsia="Times New Roman" w:hAnsi="Times New Roman"/>
                <w:sz w:val="16"/>
                <w:szCs w:val="16"/>
                <w:color w:val="231F20"/>
                <w:w w:val="74"/>
              </w:rPr>
              <w:t>)</w:t>
            </w:r>
          </w:p>
        </w:tc>
        <w:tc>
          <w:tcPr>
            <w:tcW w:w="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top w:val="single" w:sz="8" w:color="231F20"/>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19"/>
                <w:szCs w:val="19"/>
                <w:color w:val="231F20"/>
              </w:rPr>
              <w:t>107,370</w:t>
            </w:r>
          </w:p>
        </w:tc>
        <w:tc>
          <w:tcPr>
            <w:tcW w:w="100" w:type="dxa"/>
            <w:vAlign w:val="bottom"/>
            <w:tcBorders>
              <w:top w:val="single" w:sz="8" w:color="E2E3E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4397375</wp:posOffset>
                </wp:positionH>
                <wp:positionV relativeFrom="paragraph">
                  <wp:posOffset>-1584325</wp:posOffset>
                </wp:positionV>
                <wp:extent cx="13271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124.7499pt" to="356.7pt,-124.7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-750570</wp:posOffset>
                </wp:positionV>
                <wp:extent cx="13271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59.0999pt" to="356.7pt,-59.09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664845</wp:posOffset>
                </wp:positionH>
                <wp:positionV relativeFrom="paragraph">
                  <wp:posOffset>-461010</wp:posOffset>
                </wp:positionV>
                <wp:extent cx="310134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134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36.2999pt" to="296.55pt,-36.2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-461010</wp:posOffset>
                </wp:positionV>
                <wp:extent cx="13271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36.2999pt" to="356.7pt,-36.2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5165725</wp:posOffset>
                </wp:positionH>
                <wp:positionV relativeFrom="paragraph">
                  <wp:posOffset>-461010</wp:posOffset>
                </wp:positionV>
                <wp:extent cx="13462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75pt,-36.2999pt" to="417.35pt,-36.2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5920105</wp:posOffset>
                </wp:positionH>
                <wp:positionV relativeFrom="paragraph">
                  <wp:posOffset>-461010</wp:posOffset>
                </wp:positionV>
                <wp:extent cx="66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15pt,-36.2999pt" to="471.4pt,-36.2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664845</wp:posOffset>
                </wp:positionH>
                <wp:positionV relativeFrom="paragraph">
                  <wp:posOffset>-172720</wp:posOffset>
                </wp:positionV>
                <wp:extent cx="31013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134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13.5999pt" to="296.55pt,-13.5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-172720</wp:posOffset>
                </wp:positionV>
                <wp:extent cx="13271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13.5999pt" to="356.7pt,-13.5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5165725</wp:posOffset>
                </wp:positionH>
                <wp:positionV relativeFrom="paragraph">
                  <wp:posOffset>-172720</wp:posOffset>
                </wp:positionV>
                <wp:extent cx="13462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75pt,-13.5999pt" to="417.35pt,-13.5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5920105</wp:posOffset>
                </wp:positionH>
                <wp:positionV relativeFrom="paragraph">
                  <wp:posOffset>-172720</wp:posOffset>
                </wp:positionV>
                <wp:extent cx="666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15pt,-13.5999pt" to="471.4pt,-13.5999pt" o:allowincell="f" strokecolor="#FFFFFF" strokeweight="0.465pt"/>
            </w:pict>
          </mc:Fallback>
        </mc:AlternateConten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Revenue</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Revenue for the year ended December 31, 2025 was $42.7 million, and was earned under the GSK Collaboration Agreement. Revenue for the year ended December 31, 2024 was $108.3 million, and was earned under the GSK Collaboration Agreement ($37.0 million) and the Takeda Collaboration Agreement ($$71.3 million).</w:t>
      </w:r>
    </w:p>
    <w:p>
      <w:pPr>
        <w:sectPr>
          <w:pgSz w:w="11880" w:h="15480" w:orient="portrait"/>
          <w:cols w:equalWidth="0" w:num="1">
            <w:col w:w="10460"/>
          </w:cols>
          <w:pgMar w:left="700" w:top="951" w:right="720" w:bottom="1440" w:gutter="0" w:footer="0" w:header="0"/>
        </w:sectPr>
      </w:pPr>
    </w:p>
    <w:bookmarkStart w:id="86" w:name="page87"/>
    <w:bookmarkEnd w:id="86"/>
    <w:p>
      <w:pPr>
        <w:spacing w:after="0" w:line="255" w:lineRule="auto"/>
        <w:rPr>
          <w:sz w:val="20"/>
          <w:szCs w:val="20"/>
          <w:color w:val="auto"/>
        </w:rPr>
      </w:pPr>
      <w:r>
        <w:rPr>
          <w:rFonts w:ascii="Times New Roman" w:cs="Times New Roman" w:eastAsia="Times New Roman" w:hAnsi="Times New Roman"/>
          <w:sz w:val="19"/>
          <w:szCs w:val="19"/>
          <w:color w:val="231F20"/>
        </w:rPr>
        <w:t>The $65.6 million decrease in revenue year over year was driven by the revenue recognized under the Takeda Collaboration Agreement in 2024, partially offset by the increase in revenue recognized under the GSK Collaboration Agreement. The decrease in the Takeda Collaboration revenue earned year over year was primarily due to the termination of the collaboration agreement in October 2024, which led to the recognition of the remainder of the deferred revenue related to the research and development services, as well as the license related to the HD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Research and Development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summarizes our research and development expenses incurred for the years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8"/>
          </w:tcPr>
          <w:p>
            <w:pPr>
              <w:ind w:left="460"/>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231F20"/>
              </w:rPr>
              <w:t>Increase (Decrease)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231F20"/>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231F20"/>
              </w:rPr>
              <w:t>2025</w:t>
            </w:r>
          </w:p>
        </w:tc>
        <w:tc>
          <w:tcPr>
            <w:tcW w:w="64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8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80" w:type="dxa"/>
            <w:vAlign w:val="bottom"/>
            <w:tcBorders>
              <w:top w:val="single" w:sz="8" w:color="231F20"/>
            </w:tcBorders>
          </w:tcPr>
          <w:p>
            <w:pPr>
              <w:spacing w:after="0"/>
              <w:rPr>
                <w:sz w:val="14"/>
                <w:szCs w:val="14"/>
                <w:color w:val="auto"/>
              </w:rPr>
            </w:pPr>
          </w:p>
        </w:tc>
        <w:tc>
          <w:tcPr>
            <w:tcW w:w="1420" w:type="dxa"/>
            <w:vAlign w:val="bottom"/>
            <w:tcBorders>
              <w:top w:val="single" w:sz="8" w:color="231F20"/>
            </w:tcBorders>
          </w:tcPr>
          <w:p>
            <w:pPr>
              <w:jc w:val="right"/>
              <w:ind w:right="568"/>
              <w:spacing w:after="0" w:line="168" w:lineRule="exact"/>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231F20"/>
            </w:tcBorders>
          </w:tcPr>
          <w:p>
            <w:pPr>
              <w:spacing w:after="0"/>
              <w:rPr>
                <w:sz w:val="14"/>
                <w:szCs w:val="14"/>
                <w:color w:val="auto"/>
              </w:rPr>
            </w:pPr>
          </w:p>
        </w:tc>
        <w:tc>
          <w:tcPr>
            <w:tcW w:w="860" w:type="dxa"/>
            <w:vAlign w:val="bottom"/>
            <w:tcBorders>
              <w:top w:val="single" w:sz="8" w:color="231F20"/>
            </w:tcBorders>
          </w:tcPr>
          <w:p>
            <w:pPr>
              <w:spacing w:after="0"/>
              <w:rPr>
                <w:sz w:val="14"/>
                <w:szCs w:val="14"/>
                <w:color w:val="auto"/>
              </w:rPr>
            </w:pPr>
          </w:p>
        </w:tc>
        <w:tc>
          <w:tcPr>
            <w:tcW w:w="640" w:type="dxa"/>
            <w:vAlign w:val="bottom"/>
            <w:tcBorders>
              <w:top w:val="single" w:sz="8" w:color="231F20"/>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231F20"/>
            </w:tcBorders>
          </w:tcPr>
          <w:p>
            <w:pPr>
              <w:spacing w:after="0"/>
              <w:rPr>
                <w:sz w:val="14"/>
                <w:szCs w:val="14"/>
                <w:color w:val="auto"/>
              </w:rPr>
            </w:pPr>
          </w:p>
        </w:tc>
        <w:tc>
          <w:tcPr>
            <w:tcW w:w="1420" w:type="dxa"/>
            <w:vAlign w:val="bottom"/>
            <w:tcBorders>
              <w:top w:val="single" w:sz="8" w:color="231F20"/>
            </w:tcBorders>
          </w:tcPr>
          <w:p>
            <w:pPr>
              <w:jc w:val="right"/>
              <w:ind w:right="348"/>
              <w:spacing w:after="0" w:line="168" w:lineRule="exact"/>
              <w:rPr>
                <w:sz w:val="20"/>
                <w:szCs w:val="20"/>
                <w:color w:val="auto"/>
              </w:rPr>
            </w:pPr>
            <w:r>
              <w:rPr>
                <w:rFonts w:ascii="Times New Roman" w:cs="Times New Roman" w:eastAsia="Times New Roman" w:hAnsi="Times New Roman"/>
                <w:sz w:val="16"/>
                <w:szCs w:val="16"/>
                <w:color w:val="231F20"/>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136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INHBE program</w:t>
            </w:r>
          </w:p>
        </w:tc>
        <w:tc>
          <w:tcPr>
            <w:tcW w:w="100" w:type="dxa"/>
            <w:vAlign w:val="bottom"/>
            <w:shd w:val="clear" w:color="auto" w:fill="E2E3E4"/>
          </w:tcPr>
          <w:p>
            <w:pPr>
              <w:spacing w:after="0"/>
              <w:rPr>
                <w:sz w:val="19"/>
                <w:szCs w:val="19"/>
                <w:color w:val="auto"/>
              </w:rPr>
            </w:pPr>
          </w:p>
        </w:tc>
        <w:tc>
          <w:tcPr>
            <w:tcW w:w="1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60" w:type="dxa"/>
            <w:vAlign w:val="bottom"/>
            <w:shd w:val="clear" w:color="auto" w:fill="E2E3E4"/>
          </w:tcPr>
          <w:p>
            <w:pPr>
              <w:spacing w:after="0"/>
              <w:rPr>
                <w:sz w:val="19"/>
                <w:szCs w:val="19"/>
                <w:color w:val="auto"/>
              </w:rPr>
            </w:pPr>
          </w:p>
        </w:tc>
        <w:tc>
          <w:tcPr>
            <w:tcW w:w="840" w:type="dxa"/>
            <w:vAlign w:val="bottom"/>
            <w:gridSpan w:val="3"/>
            <w:shd w:val="clear" w:color="auto" w:fill="E2E3E4"/>
          </w:tcPr>
          <w:p>
            <w:pPr>
              <w:jc w:val="right"/>
              <w:ind w:right="200"/>
              <w:spacing w:after="0"/>
              <w:rPr>
                <w:sz w:val="20"/>
                <w:szCs w:val="20"/>
                <w:color w:val="auto"/>
              </w:rPr>
            </w:pPr>
            <w:r>
              <w:rPr>
                <w:rFonts w:ascii="Times New Roman" w:cs="Times New Roman" w:eastAsia="Times New Roman" w:hAnsi="Times New Roman"/>
                <w:sz w:val="19"/>
                <w:szCs w:val="19"/>
                <w:color w:val="231F20"/>
              </w:rPr>
              <w:t>15,715</w:t>
            </w:r>
          </w:p>
        </w:tc>
        <w:tc>
          <w:tcPr>
            <w:tcW w:w="200" w:type="dxa"/>
            <w:vAlign w:val="bottom"/>
            <w:gridSpan w:val="2"/>
            <w:shd w:val="clear" w:color="auto" w:fill="E2E3E4"/>
          </w:tcPr>
          <w:p>
            <w:pPr>
              <w:jc w:val="right"/>
              <w:ind w:right="14"/>
              <w:spacing w:after="0"/>
              <w:rPr>
                <w:sz w:val="20"/>
                <w:szCs w:val="20"/>
                <w:color w:val="auto"/>
              </w:rPr>
            </w:pPr>
            <w:r>
              <w:rPr>
                <w:rFonts w:ascii="Times New Roman" w:cs="Times New Roman" w:eastAsia="Times New Roman" w:hAnsi="Times New Roman"/>
                <w:sz w:val="19"/>
                <w:szCs w:val="19"/>
                <w:color w:val="231F20"/>
                <w:w w:val="83"/>
              </w:rPr>
              <w:t>$</w:t>
            </w:r>
          </w:p>
        </w:tc>
        <w:tc>
          <w:tcPr>
            <w:tcW w:w="1520" w:type="dxa"/>
            <w:vAlign w:val="bottom"/>
            <w:gridSpan w:val="2"/>
            <w:shd w:val="clear" w:color="auto" w:fill="E2E3E4"/>
          </w:tcPr>
          <w:p>
            <w:pPr>
              <w:jc w:val="right"/>
              <w:ind w:right="100"/>
              <w:spacing w:after="0"/>
              <w:rPr>
                <w:sz w:val="20"/>
                <w:szCs w:val="20"/>
                <w:color w:val="auto"/>
              </w:rPr>
            </w:pPr>
            <w:r>
              <w:rPr>
                <w:rFonts w:ascii="Times New Roman" w:cs="Times New Roman" w:eastAsia="Times New Roman" w:hAnsi="Times New Roman"/>
                <w:sz w:val="19"/>
                <w:szCs w:val="19"/>
                <w:color w:val="231F20"/>
              </w:rPr>
              <w:t>9,294</w:t>
            </w:r>
          </w:p>
        </w:tc>
        <w:tc>
          <w:tcPr>
            <w:tcW w:w="200" w:type="dxa"/>
            <w:vAlign w:val="bottom"/>
            <w:gridSpan w:val="3"/>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500" w:type="dxa"/>
            <w:vAlign w:val="bottom"/>
            <w:gridSpan w:val="3"/>
            <w:shd w:val="clear" w:color="auto" w:fill="E2E3E4"/>
          </w:tcPr>
          <w:p>
            <w:pPr>
              <w:jc w:val="right"/>
              <w:ind w:right="39"/>
              <w:spacing w:after="0"/>
              <w:rPr>
                <w:sz w:val="20"/>
                <w:szCs w:val="20"/>
                <w:color w:val="auto"/>
              </w:rPr>
            </w:pPr>
            <w:r>
              <w:rPr>
                <w:rFonts w:ascii="Times New Roman" w:cs="Times New Roman" w:eastAsia="Times New Roman" w:hAnsi="Times New Roman"/>
                <w:sz w:val="19"/>
                <w:szCs w:val="19"/>
                <w:color w:val="231F20"/>
              </w:rPr>
              <w:t>6,421</w:t>
            </w:r>
          </w:p>
        </w:tc>
        <w:tc>
          <w:tcPr>
            <w:tcW w:w="0" w:type="dxa"/>
            <w:vAlign w:val="bottom"/>
          </w:tcPr>
          <w:p>
            <w:pPr>
              <w:spacing w:after="0"/>
              <w:rPr>
                <w:sz w:val="1"/>
                <w:szCs w:val="1"/>
                <w:color w:val="auto"/>
              </w:rPr>
            </w:pPr>
          </w:p>
        </w:tc>
      </w:tr>
      <w:tr>
        <w:trPr>
          <w:trHeight w:val="235"/>
        </w:trPr>
        <w:tc>
          <w:tcPr>
            <w:tcW w:w="492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AATD program</w:t>
            </w:r>
          </w:p>
        </w:tc>
        <w:tc>
          <w:tcPr>
            <w:tcW w:w="100" w:type="dxa"/>
            <w:vAlign w:val="bottom"/>
            <w:tcBorders>
              <w:bottom w:val="single" w:sz="8" w:color="E2E3E4"/>
            </w:tcBorders>
          </w:tcPr>
          <w:p>
            <w:pPr>
              <w:spacing w:after="0"/>
              <w:rPr>
                <w:sz w:val="20"/>
                <w:szCs w:val="20"/>
                <w:color w:val="auto"/>
              </w:rPr>
            </w:pPr>
          </w:p>
        </w:tc>
        <w:tc>
          <w:tcPr>
            <w:tcW w:w="120" w:type="dxa"/>
            <w:vAlign w:val="bottom"/>
            <w:tcBorders>
              <w:bottom w:val="single" w:sz="8" w:color="E2E3E4"/>
            </w:tcBorders>
          </w:tcPr>
          <w:p>
            <w:pPr>
              <w:spacing w:after="0"/>
              <w:rPr>
                <w:sz w:val="20"/>
                <w:szCs w:val="20"/>
                <w:color w:val="auto"/>
              </w:rPr>
            </w:pPr>
          </w:p>
        </w:tc>
        <w:tc>
          <w:tcPr>
            <w:tcW w:w="860" w:type="dxa"/>
            <w:vAlign w:val="bottom"/>
            <w:tcBorders>
              <w:bottom w:val="single" w:sz="8" w:color="E2E3E4"/>
            </w:tcBorders>
          </w:tcPr>
          <w:p>
            <w:pPr>
              <w:spacing w:after="0"/>
              <w:rPr>
                <w:sz w:val="20"/>
                <w:szCs w:val="20"/>
                <w:color w:val="auto"/>
              </w:rPr>
            </w:pPr>
          </w:p>
        </w:tc>
        <w:tc>
          <w:tcPr>
            <w:tcW w:w="840" w:type="dxa"/>
            <w:vAlign w:val="bottom"/>
            <w:tcBorders>
              <w:bottom w:val="single" w:sz="8" w:color="E2E3E4"/>
            </w:tcBorders>
            <w:gridSpan w:val="3"/>
          </w:tcPr>
          <w:p>
            <w:pPr>
              <w:jc w:val="right"/>
              <w:ind w:right="200"/>
              <w:spacing w:after="0"/>
              <w:rPr>
                <w:sz w:val="20"/>
                <w:szCs w:val="20"/>
                <w:color w:val="auto"/>
              </w:rPr>
            </w:pPr>
            <w:r>
              <w:rPr>
                <w:rFonts w:ascii="Times New Roman" w:cs="Times New Roman" w:eastAsia="Times New Roman" w:hAnsi="Times New Roman"/>
                <w:sz w:val="19"/>
                <w:szCs w:val="19"/>
                <w:color w:val="231F20"/>
              </w:rPr>
              <w:t>5,714</w:t>
            </w:r>
          </w:p>
        </w:tc>
        <w:tc>
          <w:tcPr>
            <w:tcW w:w="20" w:type="dxa"/>
            <w:vAlign w:val="bottom"/>
            <w:tcBorders>
              <w:bottom w:val="single" w:sz="8" w:color="E2E3E4"/>
            </w:tcBorders>
          </w:tcPr>
          <w:p>
            <w:pPr>
              <w:spacing w:after="0"/>
              <w:rPr>
                <w:sz w:val="20"/>
                <w:szCs w:val="20"/>
                <w:color w:val="auto"/>
              </w:rPr>
            </w:pPr>
          </w:p>
        </w:tc>
        <w:tc>
          <w:tcPr>
            <w:tcW w:w="180" w:type="dxa"/>
            <w:vAlign w:val="bottom"/>
            <w:tcBorders>
              <w:bottom w:val="single" w:sz="8" w:color="E2E3E4"/>
            </w:tcBorders>
          </w:tcPr>
          <w:p>
            <w:pPr>
              <w:spacing w:after="0"/>
              <w:rPr>
                <w:sz w:val="20"/>
                <w:szCs w:val="20"/>
                <w:color w:val="auto"/>
              </w:rPr>
            </w:pPr>
          </w:p>
        </w:tc>
        <w:tc>
          <w:tcPr>
            <w:tcW w:w="1520" w:type="dxa"/>
            <w:vAlign w:val="bottom"/>
            <w:tcBorders>
              <w:bottom w:val="single" w:sz="8" w:color="E2E3E4"/>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11,666</w:t>
            </w:r>
          </w:p>
        </w:tc>
        <w:tc>
          <w:tcPr>
            <w:tcW w:w="8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3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(5,952</w:t>
            </w:r>
          </w:p>
        </w:tc>
        <w:tc>
          <w:tcPr>
            <w:tcW w:w="20" w:type="dxa"/>
            <w:vAlign w:val="bottom"/>
            <w:tcBorders>
              <w:bottom w:val="single" w:sz="8" w:color="E2E3E4"/>
            </w:tcBorders>
          </w:tcPr>
          <w:p>
            <w:pPr>
              <w:spacing w:after="0"/>
              <w:rPr>
                <w:sz w:val="20"/>
                <w:szCs w:val="20"/>
                <w:color w:val="auto"/>
              </w:rPr>
            </w:pPr>
          </w:p>
        </w:tc>
        <w:tc>
          <w:tcPr>
            <w:tcW w:w="1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0" w:type="dxa"/>
            <w:vAlign w:val="bottom"/>
          </w:tcPr>
          <w:p>
            <w:pPr>
              <w:spacing w:after="0"/>
              <w:rPr>
                <w:sz w:val="1"/>
                <w:szCs w:val="1"/>
                <w:color w:val="auto"/>
              </w:rPr>
            </w:pPr>
          </w:p>
        </w:tc>
      </w:tr>
      <w:tr>
        <w:trPr>
          <w:trHeight w:val="217"/>
        </w:trPr>
        <w:tc>
          <w:tcPr>
            <w:tcW w:w="492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DMD program</w:t>
            </w:r>
          </w:p>
        </w:tc>
        <w:tc>
          <w:tcPr>
            <w:tcW w:w="10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860" w:type="dxa"/>
            <w:vAlign w:val="bottom"/>
            <w:shd w:val="clear" w:color="auto" w:fill="E2E3E4"/>
          </w:tcPr>
          <w:p>
            <w:pPr>
              <w:spacing w:after="0"/>
              <w:rPr>
                <w:sz w:val="18"/>
                <w:szCs w:val="18"/>
                <w:color w:val="auto"/>
              </w:rPr>
            </w:pPr>
          </w:p>
        </w:tc>
        <w:tc>
          <w:tcPr>
            <w:tcW w:w="840" w:type="dxa"/>
            <w:vAlign w:val="bottom"/>
            <w:gridSpan w:val="3"/>
            <w:shd w:val="clear" w:color="auto" w:fill="E2E3E4"/>
          </w:tcPr>
          <w:p>
            <w:pPr>
              <w:jc w:val="right"/>
              <w:ind w:right="200"/>
              <w:spacing w:after="0" w:line="217" w:lineRule="exact"/>
              <w:rPr>
                <w:sz w:val="20"/>
                <w:szCs w:val="20"/>
                <w:color w:val="auto"/>
              </w:rPr>
            </w:pPr>
            <w:r>
              <w:rPr>
                <w:rFonts w:ascii="Times New Roman" w:cs="Times New Roman" w:eastAsia="Times New Roman" w:hAnsi="Times New Roman"/>
                <w:sz w:val="19"/>
                <w:szCs w:val="19"/>
                <w:color w:val="231F20"/>
              </w:rPr>
              <w:t>19,469</w:t>
            </w:r>
          </w:p>
        </w:tc>
        <w:tc>
          <w:tcPr>
            <w:tcW w:w="2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1520" w:type="dxa"/>
            <w:vAlign w:val="bottom"/>
            <w:gridSpan w:val="2"/>
            <w:shd w:val="clear" w:color="auto" w:fill="E2E3E4"/>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15,536</w:t>
            </w:r>
          </w:p>
        </w:tc>
        <w:tc>
          <w:tcPr>
            <w:tcW w:w="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80" w:type="dxa"/>
            <w:vAlign w:val="bottom"/>
            <w:gridSpan w:val="2"/>
            <w:shd w:val="clear" w:color="auto" w:fill="E2E3E4"/>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3,933</w:t>
            </w:r>
          </w:p>
        </w:tc>
        <w:tc>
          <w:tcPr>
            <w:tcW w:w="12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231F20"/>
              </w:rPr>
              <w:t>HD program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231F20"/>
              </w:rPr>
              <w:t>2,678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11,790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(9,112)</w:t>
            </w:r>
          </w:p>
        </w:tc>
        <w:tc>
          <w:tcPr>
            <w:tcW w:w="0" w:type="dxa"/>
            <w:vAlign w:val="bottom"/>
          </w:tcPr>
          <w:p>
            <w:pPr>
              <w:spacing w:after="0"/>
              <w:rPr>
                <w:sz w:val="1"/>
                <w:szCs w:val="1"/>
                <w:color w:val="auto"/>
              </w:rPr>
            </w:pPr>
          </w:p>
        </w:tc>
      </w:tr>
      <w:tr>
        <w:trPr>
          <w:trHeight w:val="224"/>
        </w:trPr>
        <w:tc>
          <w:tcPr>
            <w:tcW w:w="492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Other research and development expenses(1), including</w:t>
            </w:r>
          </w:p>
        </w:tc>
        <w:tc>
          <w:tcPr>
            <w:tcW w:w="100" w:type="dxa"/>
            <w:vAlign w:val="bottom"/>
            <w:shd w:val="clear" w:color="auto" w:fill="E2E3E4"/>
          </w:tcPr>
          <w:p>
            <w:pPr>
              <w:spacing w:after="0"/>
              <w:rPr>
                <w:sz w:val="19"/>
                <w:szCs w:val="19"/>
                <w:color w:val="auto"/>
              </w:rPr>
            </w:pPr>
          </w:p>
        </w:tc>
        <w:tc>
          <w:tcPr>
            <w:tcW w:w="120" w:type="dxa"/>
            <w:vAlign w:val="bottom"/>
            <w:shd w:val="clear" w:color="auto" w:fill="E2E3E4"/>
          </w:tcPr>
          <w:p>
            <w:pPr>
              <w:spacing w:after="0"/>
              <w:rPr>
                <w:sz w:val="19"/>
                <w:szCs w:val="19"/>
                <w:color w:val="auto"/>
              </w:rPr>
            </w:pPr>
          </w:p>
        </w:tc>
        <w:tc>
          <w:tcPr>
            <w:tcW w:w="860" w:type="dxa"/>
            <w:vAlign w:val="bottom"/>
            <w:shd w:val="clear" w:color="auto" w:fill="E2E3E4"/>
          </w:tcPr>
          <w:p>
            <w:pPr>
              <w:spacing w:after="0"/>
              <w:rPr>
                <w:sz w:val="19"/>
                <w:szCs w:val="19"/>
                <w:color w:val="auto"/>
              </w:rPr>
            </w:pPr>
          </w:p>
        </w:tc>
        <w:tc>
          <w:tcPr>
            <w:tcW w:w="64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14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20" w:type="dxa"/>
            <w:vAlign w:val="bottom"/>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PNPLA3, additional preclinical programs, PRISM</w:t>
            </w:r>
          </w:p>
        </w:tc>
        <w:tc>
          <w:tcPr>
            <w:tcW w:w="100" w:type="dxa"/>
            <w:vAlign w:val="bottom"/>
            <w:shd w:val="clear" w:color="auto" w:fill="E2E3E4"/>
          </w:tcPr>
          <w:p>
            <w:pPr>
              <w:spacing w:after="0"/>
              <w:rPr>
                <w:sz w:val="19"/>
                <w:szCs w:val="19"/>
                <w:color w:val="auto"/>
              </w:rPr>
            </w:pPr>
          </w:p>
        </w:tc>
        <w:tc>
          <w:tcPr>
            <w:tcW w:w="120" w:type="dxa"/>
            <w:vAlign w:val="bottom"/>
            <w:shd w:val="clear" w:color="auto" w:fill="E2E3E4"/>
          </w:tcPr>
          <w:p>
            <w:pPr>
              <w:spacing w:after="0"/>
              <w:rPr>
                <w:sz w:val="19"/>
                <w:szCs w:val="19"/>
                <w:color w:val="auto"/>
              </w:rPr>
            </w:pPr>
          </w:p>
        </w:tc>
        <w:tc>
          <w:tcPr>
            <w:tcW w:w="860" w:type="dxa"/>
            <w:vAlign w:val="bottom"/>
            <w:shd w:val="clear" w:color="auto" w:fill="E2E3E4"/>
          </w:tcPr>
          <w:p>
            <w:pPr>
              <w:spacing w:after="0"/>
              <w:rPr>
                <w:sz w:val="19"/>
                <w:szCs w:val="19"/>
                <w:color w:val="auto"/>
              </w:rPr>
            </w:pPr>
          </w:p>
        </w:tc>
        <w:tc>
          <w:tcPr>
            <w:tcW w:w="660" w:type="dxa"/>
            <w:vAlign w:val="bottom"/>
            <w:gridSpan w:val="2"/>
            <w:shd w:val="clear" w:color="auto" w:fill="E2E3E4"/>
          </w:tcPr>
          <w:p>
            <w:pPr>
              <w:jc w:val="right"/>
              <w:ind w:right="20"/>
              <w:spacing w:after="0"/>
              <w:rPr>
                <w:sz w:val="20"/>
                <w:szCs w:val="20"/>
                <w:color w:val="auto"/>
              </w:rPr>
            </w:pPr>
            <w:r>
              <w:rPr>
                <w:rFonts w:ascii="Times New Roman" w:cs="Times New Roman" w:eastAsia="Times New Roman" w:hAnsi="Times New Roman"/>
                <w:sz w:val="19"/>
                <w:szCs w:val="19"/>
                <w:color w:val="231F20"/>
              </w:rPr>
              <w:t>139,203</w:t>
            </w:r>
          </w:p>
        </w:tc>
        <w:tc>
          <w:tcPr>
            <w:tcW w:w="18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1520" w:type="dxa"/>
            <w:vAlign w:val="bottom"/>
            <w:gridSpan w:val="2"/>
            <w:shd w:val="clear" w:color="auto" w:fill="E2E3E4"/>
          </w:tcPr>
          <w:p>
            <w:pPr>
              <w:jc w:val="right"/>
              <w:ind w:right="100"/>
              <w:spacing w:after="0"/>
              <w:rPr>
                <w:sz w:val="20"/>
                <w:szCs w:val="20"/>
                <w:color w:val="auto"/>
              </w:rPr>
            </w:pPr>
            <w:r>
              <w:rPr>
                <w:rFonts w:ascii="Times New Roman" w:cs="Times New Roman" w:eastAsia="Times New Roman" w:hAnsi="Times New Roman"/>
                <w:sz w:val="19"/>
                <w:szCs w:val="19"/>
                <w:color w:val="231F20"/>
              </w:rPr>
              <w:t>111,396</w:t>
            </w:r>
          </w:p>
        </w:tc>
        <w:tc>
          <w:tcPr>
            <w:tcW w:w="8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500" w:type="dxa"/>
            <w:vAlign w:val="bottom"/>
            <w:gridSpan w:val="3"/>
            <w:shd w:val="clear" w:color="auto" w:fill="E2E3E4"/>
          </w:tcPr>
          <w:p>
            <w:pPr>
              <w:jc w:val="right"/>
              <w:ind w:right="39"/>
              <w:spacing w:after="0"/>
              <w:rPr>
                <w:sz w:val="20"/>
                <w:szCs w:val="20"/>
                <w:color w:val="auto"/>
              </w:rPr>
            </w:pPr>
            <w:r>
              <w:rPr>
                <w:rFonts w:ascii="Times New Roman" w:cs="Times New Roman" w:eastAsia="Times New Roman" w:hAnsi="Times New Roman"/>
                <w:sz w:val="19"/>
                <w:szCs w:val="19"/>
                <w:color w:val="231F20"/>
              </w:rPr>
              <w:t>27,807</w:t>
            </w:r>
          </w:p>
        </w:tc>
        <w:tc>
          <w:tcPr>
            <w:tcW w:w="0" w:type="dxa"/>
            <w:vAlign w:val="bottom"/>
          </w:tcPr>
          <w:p>
            <w:pPr>
              <w:spacing w:after="0"/>
              <w:rPr>
                <w:sz w:val="1"/>
                <w:szCs w:val="1"/>
                <w:color w:val="auto"/>
              </w:rPr>
            </w:pPr>
          </w:p>
        </w:tc>
      </w:tr>
      <w:tr>
        <w:trPr>
          <w:trHeight w:val="215"/>
        </w:trPr>
        <w:tc>
          <w:tcPr>
            <w:tcW w:w="4920" w:type="dxa"/>
            <w:vAlign w:val="bottom"/>
          </w:tcPr>
          <w:p>
            <w:pPr>
              <w:spacing w:after="0" w:line="215" w:lineRule="exact"/>
              <w:rPr>
                <w:sz w:val="20"/>
                <w:szCs w:val="20"/>
                <w:color w:val="auto"/>
              </w:rPr>
            </w:pPr>
            <w:r>
              <w:rPr>
                <w:rFonts w:ascii="Times New Roman" w:cs="Times New Roman" w:eastAsia="Times New Roman" w:hAnsi="Times New Roman"/>
                <w:sz w:val="19"/>
                <w:szCs w:val="19"/>
                <w:color w:val="231F20"/>
              </w:rPr>
              <w:t>Total research and development expenses</w:t>
            </w:r>
          </w:p>
        </w:tc>
        <w:tc>
          <w:tcPr>
            <w:tcW w:w="100" w:type="dxa"/>
            <w:vAlign w:val="bottom"/>
          </w:tcPr>
          <w:p>
            <w:pPr>
              <w:spacing w:after="0"/>
              <w:rPr>
                <w:sz w:val="18"/>
                <w:szCs w:val="18"/>
                <w:color w:val="auto"/>
              </w:rPr>
            </w:pPr>
          </w:p>
        </w:tc>
        <w:tc>
          <w:tcPr>
            <w:tcW w:w="120" w:type="dxa"/>
            <w:vAlign w:val="bottom"/>
            <w:tcBorders>
              <w:top w:val="single" w:sz="8" w:color="231F20"/>
            </w:tcBorders>
          </w:tcPr>
          <w:p>
            <w:pPr>
              <w:jc w:val="right"/>
              <w:spacing w:after="0" w:line="215" w:lineRule="exact"/>
              <w:rPr>
                <w:sz w:val="20"/>
                <w:szCs w:val="20"/>
                <w:color w:val="auto"/>
              </w:rPr>
            </w:pPr>
            <w:r>
              <w:rPr>
                <w:rFonts w:ascii="Times New Roman" w:cs="Times New Roman" w:eastAsia="Times New Roman" w:hAnsi="Times New Roman"/>
                <w:sz w:val="19"/>
                <w:szCs w:val="19"/>
                <w:color w:val="231F20"/>
                <w:w w:val="83"/>
              </w:rPr>
              <w:t>$</w:t>
            </w:r>
          </w:p>
        </w:tc>
        <w:tc>
          <w:tcPr>
            <w:tcW w:w="860" w:type="dxa"/>
            <w:vAlign w:val="bottom"/>
            <w:tcBorders>
              <w:top w:val="single" w:sz="8" w:color="231F20"/>
            </w:tcBorders>
          </w:tcPr>
          <w:p>
            <w:pPr>
              <w:spacing w:after="0"/>
              <w:rPr>
                <w:sz w:val="18"/>
                <w:szCs w:val="18"/>
                <w:color w:val="auto"/>
              </w:rPr>
            </w:pPr>
          </w:p>
        </w:tc>
        <w:tc>
          <w:tcPr>
            <w:tcW w:w="640" w:type="dxa"/>
            <w:vAlign w:val="bottom"/>
            <w:tcBorders>
              <w:top w:val="single" w:sz="8" w:color="231F20"/>
            </w:tcBorders>
          </w:tcPr>
          <w:p>
            <w:pPr>
              <w:jc w:val="right"/>
              <w:spacing w:after="0" w:line="215" w:lineRule="exact"/>
              <w:rPr>
                <w:sz w:val="20"/>
                <w:szCs w:val="20"/>
                <w:color w:val="auto"/>
              </w:rPr>
            </w:pPr>
            <w:r>
              <w:rPr>
                <w:rFonts w:ascii="Times New Roman" w:cs="Times New Roman" w:eastAsia="Times New Roman" w:hAnsi="Times New Roman"/>
                <w:sz w:val="19"/>
                <w:szCs w:val="19"/>
                <w:color w:val="231F20"/>
              </w:rPr>
              <w:t>182,779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231F20"/>
            </w:tcBorders>
          </w:tcPr>
          <w:p>
            <w:pPr>
              <w:jc w:val="right"/>
              <w:ind w:right="14"/>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tcBorders>
              <w:top w:val="single" w:sz="8" w:color="231F20"/>
            </w:tcBorders>
          </w:tcPr>
          <w:p>
            <w:pPr>
              <w:jc w:val="right"/>
              <w:spacing w:after="0" w:line="215" w:lineRule="exact"/>
              <w:rPr>
                <w:sz w:val="20"/>
                <w:szCs w:val="20"/>
                <w:color w:val="auto"/>
              </w:rPr>
            </w:pPr>
            <w:r>
              <w:rPr>
                <w:rFonts w:ascii="Times New Roman" w:cs="Times New Roman" w:eastAsia="Times New Roman" w:hAnsi="Times New Roman"/>
                <w:sz w:val="19"/>
                <w:szCs w:val="19"/>
                <w:color w:val="231F20"/>
              </w:rPr>
              <w:t>159,682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231F20"/>
            </w:tcBorders>
          </w:tcPr>
          <w:p>
            <w:pPr>
              <w:jc w:val="right"/>
              <w:spacing w:after="0" w:line="215" w:lineRule="exact"/>
              <w:rPr>
                <w:sz w:val="20"/>
                <w:szCs w:val="20"/>
                <w:color w:val="auto"/>
              </w:rPr>
            </w:pPr>
            <w:r>
              <w:rPr>
                <w:rFonts w:ascii="Times New Roman" w:cs="Times New Roman" w:eastAsia="Times New Roman" w:hAnsi="Times New Roman"/>
                <w:sz w:val="19"/>
                <w:szCs w:val="19"/>
                <w:color w:val="231F20"/>
                <w:w w:val="83"/>
              </w:rPr>
              <w:t>$</w:t>
            </w:r>
          </w:p>
        </w:tc>
        <w:tc>
          <w:tcPr>
            <w:tcW w:w="1360" w:type="dxa"/>
            <w:vAlign w:val="bottom"/>
            <w:tcBorders>
              <w:top w:val="single" w:sz="8" w:color="231F20"/>
            </w:tcBorders>
          </w:tcPr>
          <w:p>
            <w:pPr>
              <w:jc w:val="right"/>
              <w:spacing w:after="0" w:line="215" w:lineRule="exact"/>
              <w:rPr>
                <w:sz w:val="20"/>
                <w:szCs w:val="20"/>
                <w:color w:val="auto"/>
              </w:rPr>
            </w:pPr>
            <w:r>
              <w:rPr>
                <w:rFonts w:ascii="Times New Roman" w:cs="Times New Roman" w:eastAsia="Times New Roman" w:hAnsi="Times New Roman"/>
                <w:sz w:val="19"/>
                <w:szCs w:val="19"/>
                <w:color w:val="231F20"/>
              </w:rPr>
              <w:t>23,097</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-895350</wp:posOffset>
                </wp:positionV>
                <wp:extent cx="651891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891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0.4999pt" to="513.3pt,-70.4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4211320</wp:posOffset>
                </wp:positionH>
                <wp:positionV relativeFrom="paragraph">
                  <wp:posOffset>-172720</wp:posOffset>
                </wp:positionV>
                <wp:extent cx="13589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6pt,-13.5999pt" to="342.3pt,-13.5999pt" o:allowincell="f" strokecolor="#FFFFFF" strokeweight="0.466pt"/>
            </w:pict>
          </mc:Fallback>
        </mc:AlternateContent>
      </w:r>
    </w:p>
    <w:p>
      <w:pPr>
        <w:spacing w:after="0" w:line="185" w:lineRule="exact"/>
        <w:rPr>
          <w:sz w:val="20"/>
          <w:szCs w:val="20"/>
          <w:color w:val="auto"/>
        </w:rPr>
      </w:pPr>
    </w:p>
    <w:p>
      <w:pPr>
        <w:ind w:left="480" w:right="100" w:hanging="480"/>
        <w:spacing w:after="0" w:line="266" w:lineRule="auto"/>
        <w:tabs>
          <w:tab w:leader="none" w:pos="480" w:val="left"/>
        </w:tabs>
        <w:numPr>
          <w:ilvl w:val="0"/>
          <w:numId w:val="4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9"/>
          <w:szCs w:val="19"/>
          <w:color w:val="231F20"/>
        </w:rPr>
        <w:t>Research and development expenses were $182.8 million for the year ended December 31, 2025, compared to $159.7 million for the year ended December 31, 2024. The increase of $23.1 million was due to the following:</w:t>
      </w:r>
    </w:p>
    <w:p>
      <w:pPr>
        <w:spacing w:after="0" w:line="275" w:lineRule="exact"/>
        <w:rPr>
          <w:sz w:val="20"/>
          <w:szCs w:val="20"/>
          <w:color w:val="auto"/>
        </w:rPr>
      </w:pPr>
    </w:p>
    <w:p>
      <w:pPr>
        <w:ind w:left="940" w:hanging="465"/>
        <w:spacing w:after="0"/>
        <w:tabs>
          <w:tab w:leader="none" w:pos="94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an increase of $6.4 million in external expenses related to our INHBE program, including WVE-007 (RNAi);</w:t>
      </w:r>
    </w:p>
    <w:p>
      <w:pPr>
        <w:spacing w:after="0" w:line="125" w:lineRule="exact"/>
        <w:rPr>
          <w:rFonts w:ascii="Arial" w:cs="Arial" w:eastAsia="Arial" w:hAnsi="Arial"/>
          <w:sz w:val="19"/>
          <w:szCs w:val="19"/>
          <w:color w:val="231F20"/>
        </w:rPr>
      </w:pPr>
    </w:p>
    <w:p>
      <w:pPr>
        <w:ind w:left="940" w:hanging="465"/>
        <w:spacing w:after="0"/>
        <w:tabs>
          <w:tab w:leader="none" w:pos="94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a decrease of $5.9 million in external expenses related to our AATD program, WVE-006 (RNA editing);</w:t>
      </w:r>
    </w:p>
    <w:p>
      <w:pPr>
        <w:spacing w:after="0" w:line="125" w:lineRule="exact"/>
        <w:rPr>
          <w:rFonts w:ascii="Arial" w:cs="Arial" w:eastAsia="Arial" w:hAnsi="Arial"/>
          <w:sz w:val="19"/>
          <w:szCs w:val="19"/>
          <w:color w:val="231F20"/>
        </w:rPr>
      </w:pPr>
    </w:p>
    <w:p>
      <w:pPr>
        <w:ind w:left="940" w:hanging="465"/>
        <w:spacing w:after="0"/>
        <w:tabs>
          <w:tab w:leader="none" w:pos="94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an increase of $3.9 million in external expenses related to our DMD program, including WVE-N531 (splicing);</w:t>
      </w:r>
    </w:p>
    <w:p>
      <w:pPr>
        <w:spacing w:after="0" w:line="132" w:lineRule="exact"/>
        <w:rPr>
          <w:rFonts w:ascii="Arial" w:cs="Arial" w:eastAsia="Arial" w:hAnsi="Arial"/>
          <w:sz w:val="19"/>
          <w:szCs w:val="19"/>
          <w:color w:val="231F20"/>
        </w:rPr>
      </w:pPr>
    </w:p>
    <w:p>
      <w:pPr>
        <w:ind w:left="940" w:hanging="466"/>
        <w:spacing w:after="0"/>
        <w:tabs>
          <w:tab w:leader="none" w:pos="94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a decrease of $9.1 million in external expenses related to our HD program, including WVE-003 (silencing); and</w:t>
      </w:r>
    </w:p>
    <w:p>
      <w:pPr>
        <w:spacing w:after="0" w:line="127" w:lineRule="exact"/>
        <w:rPr>
          <w:rFonts w:ascii="Arial" w:cs="Arial" w:eastAsia="Arial" w:hAnsi="Arial"/>
          <w:sz w:val="19"/>
          <w:szCs w:val="19"/>
          <w:color w:val="231F20"/>
        </w:rPr>
      </w:pPr>
    </w:p>
    <w:p>
      <w:pPr>
        <w:ind w:left="940" w:right="100" w:hanging="466"/>
        <w:spacing w:after="0" w:line="245" w:lineRule="auto"/>
        <w:tabs>
          <w:tab w:leader="none" w:pos="94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an increase of $27.8 million in other research and development expenses, including PNPLA3, additional preclinical programs, PRISM, and internal and external research and development expenses that are not allocated on a program-by-program basis or are related to other discovery and development programs, and the identification of potential drug discovery candidates. This is mainly due to increases in compensation-related expenses and facilities-related expenses, partially offset by decreases in other external research and development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General and Administrative Expenses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231F20"/>
        </w:rPr>
        <w:t>General and administrative expenses were $75.3 million for the year ended December 31, 2025, compared to $59.0 million for the year ended December 31, 2024. The increase of $16.3 million is primarily driven by increases in compensation related expenses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Other Income, Net</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231F20"/>
        </w:rPr>
        <w:t>Other income, net for the years ended December 31, 2025 and 2024 was $11.0 million and $13.4 million, respectively. The decrease of $2.4 million in other income, net was primarily driven by a decrease in estimated refundable tax credits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Income Tax Benefit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the years ended December 31, 2025 and 2024, we recorded no income tax benefit or provision.</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Comparison of the Year Ended December 31, 2024 to the Year Ended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summarizes our results of operations for 2024 and 2023:</w:t>
      </w:r>
    </w:p>
    <w:p>
      <w:pPr>
        <w:sectPr>
          <w:pgSz w:w="11880" w:h="15480" w:orient="portrait"/>
          <w:cols w:equalWidth="0" w:num="1">
            <w:col w:w="10380"/>
          </w:cols>
          <w:pgMar w:left="700" w:top="963" w:right="800" w:bottom="1133" w:gutter="0" w:footer="0" w:header="0"/>
        </w:sectPr>
      </w:pPr>
    </w:p>
    <w:bookmarkStart w:id="87" w:name="page88"/>
    <w:bookmarkEnd w:id="87"/>
    <w:tbl>
      <w:tblPr>
        <w:tblLayout w:type="fixed"/>
        <w:tblInd w:w="100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7"/>
          </w:tcPr>
          <w:p>
            <w:pPr>
              <w:jc w:val="right"/>
              <w:ind w:right="439"/>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231F20"/>
              </w:rPr>
              <w:t>Increase</w:t>
            </w: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1300" w:type="dxa"/>
            <w:vAlign w:val="bottom"/>
            <w:tcBorders>
              <w:top w:val="single" w:sz="8" w:color="231F20"/>
            </w:tcBorders>
          </w:tcPr>
          <w:p>
            <w:pPr>
              <w:spacing w:after="0"/>
              <w:rPr>
                <w:sz w:val="14"/>
                <w:szCs w:val="14"/>
                <w:color w:val="auto"/>
              </w:rPr>
            </w:pPr>
          </w:p>
        </w:tc>
        <w:tc>
          <w:tcPr>
            <w:tcW w:w="110" w:type="dxa"/>
            <w:vAlign w:val="bottom"/>
            <w:tcBorders>
              <w:top w:val="single" w:sz="8" w:color="231F20"/>
            </w:tcBorders>
          </w:tcPr>
          <w:p>
            <w:pPr>
              <w:spacing w:after="0"/>
              <w:rPr>
                <w:sz w:val="14"/>
                <w:szCs w:val="14"/>
                <w:color w:val="auto"/>
              </w:rPr>
            </w:pPr>
          </w:p>
        </w:tc>
        <w:tc>
          <w:tcPr>
            <w:tcW w:w="13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1320" w:type="dxa"/>
            <w:vAlign w:val="bottom"/>
            <w:tcBorders>
              <w:top w:val="single" w:sz="8" w:color="231F20"/>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6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1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6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231F20"/>
              </w:rPr>
              <w:t>(Decrease)</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E2E3E4"/>
            </w:tcBorders>
          </w:tcPr>
          <w:p>
            <w:pPr>
              <w:spacing w:after="0"/>
              <w:rPr>
                <w:sz w:val="14"/>
                <w:szCs w:val="14"/>
                <w:color w:val="auto"/>
              </w:rPr>
            </w:pPr>
          </w:p>
        </w:tc>
        <w:tc>
          <w:tcPr>
            <w:tcW w:w="14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top w:val="single" w:sz="8" w:color="231F20"/>
              <w:bottom w:val="single" w:sz="8" w:color="E2E3E4"/>
            </w:tcBorders>
          </w:tcPr>
          <w:p>
            <w:pPr>
              <w:spacing w:after="0"/>
              <w:rPr>
                <w:sz w:val="14"/>
                <w:szCs w:val="14"/>
                <w:color w:val="auto"/>
              </w:rPr>
            </w:pPr>
          </w:p>
        </w:tc>
        <w:tc>
          <w:tcPr>
            <w:tcW w:w="1300" w:type="dxa"/>
            <w:vAlign w:val="bottom"/>
            <w:tcBorders>
              <w:top w:val="single" w:sz="8" w:color="231F20"/>
              <w:bottom w:val="single" w:sz="8" w:color="E2E3E4"/>
            </w:tcBorders>
          </w:tcPr>
          <w:p>
            <w:pPr>
              <w:spacing w:after="0"/>
              <w:rPr>
                <w:sz w:val="14"/>
                <w:szCs w:val="14"/>
                <w:color w:val="auto"/>
              </w:rPr>
            </w:pPr>
          </w:p>
        </w:tc>
        <w:tc>
          <w:tcPr>
            <w:tcW w:w="110" w:type="dxa"/>
            <w:vAlign w:val="bottom"/>
            <w:tcBorders>
              <w:bottom w:val="single" w:sz="8" w:color="E2E3E4"/>
            </w:tcBorders>
          </w:tcPr>
          <w:p>
            <w:pPr>
              <w:spacing w:after="0"/>
              <w:rPr>
                <w:sz w:val="14"/>
                <w:szCs w:val="14"/>
                <w:color w:val="auto"/>
              </w:rPr>
            </w:pPr>
          </w:p>
        </w:tc>
        <w:tc>
          <w:tcPr>
            <w:tcW w:w="13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top w:val="single" w:sz="8" w:color="231F20"/>
              <w:bottom w:val="single" w:sz="8" w:color="E2E3E4"/>
            </w:tcBorders>
          </w:tcPr>
          <w:p>
            <w:pPr>
              <w:spacing w:after="0"/>
              <w:rPr>
                <w:sz w:val="14"/>
                <w:szCs w:val="14"/>
                <w:color w:val="auto"/>
              </w:rPr>
            </w:pPr>
          </w:p>
        </w:tc>
        <w:tc>
          <w:tcPr>
            <w:tcW w:w="1320" w:type="dxa"/>
            <w:vAlign w:val="bottom"/>
            <w:tcBorders>
              <w:top w:val="single" w:sz="8" w:color="231F20"/>
              <w:bottom w:val="single" w:sz="8" w:color="E2E3E4"/>
            </w:tcBorders>
          </w:tcPr>
          <w:p>
            <w:pPr>
              <w:jc w:val="right"/>
              <w:ind w:right="287"/>
              <w:spacing w:after="0" w:line="171" w:lineRule="exact"/>
              <w:rPr>
                <w:sz w:val="20"/>
                <w:szCs w:val="20"/>
                <w:color w:val="auto"/>
              </w:rPr>
            </w:pPr>
            <w:r>
              <w:rPr>
                <w:rFonts w:ascii="Times New Roman" w:cs="Times New Roman" w:eastAsia="Times New Roman" w:hAnsi="Times New Roman"/>
                <w:sz w:val="16"/>
                <w:szCs w:val="16"/>
                <w:color w:val="231F20"/>
              </w:rPr>
              <w:t>(in thousands)</w:t>
            </w:r>
          </w:p>
        </w:tc>
        <w:tc>
          <w:tcPr>
            <w:tcW w:w="100" w:type="dxa"/>
            <w:vAlign w:val="bottom"/>
            <w:tcBorders>
              <w:bottom w:val="single" w:sz="8" w:color="E2E3E4"/>
            </w:tcBorders>
          </w:tcPr>
          <w:p>
            <w:pPr>
              <w:spacing w:after="0"/>
              <w:rPr>
                <w:sz w:val="14"/>
                <w:szCs w:val="14"/>
                <w:color w:val="auto"/>
              </w:rPr>
            </w:pPr>
          </w:p>
        </w:tc>
        <w:tc>
          <w:tcPr>
            <w:tcW w:w="14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80" w:type="dxa"/>
            <w:vAlign w:val="bottom"/>
            <w:tcBorders>
              <w:top w:val="single" w:sz="8" w:color="231F20"/>
              <w:bottom w:val="single" w:sz="8" w:color="E2E3E4"/>
            </w:tcBorders>
          </w:tcPr>
          <w:p>
            <w:pPr>
              <w:spacing w:after="0"/>
              <w:rPr>
                <w:sz w:val="14"/>
                <w:szCs w:val="14"/>
                <w:color w:val="auto"/>
              </w:rPr>
            </w:pPr>
          </w:p>
        </w:tc>
        <w:tc>
          <w:tcPr>
            <w:tcW w:w="1140" w:type="dxa"/>
            <w:vAlign w:val="bottom"/>
            <w:tcBorders>
              <w:top w:val="single" w:sz="8" w:color="231F20"/>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Revenue</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3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108,302</w:t>
            </w:r>
          </w:p>
        </w:tc>
        <w:tc>
          <w:tcPr>
            <w:tcW w:w="110" w:type="dxa"/>
            <w:vAlign w:val="bottom"/>
            <w:shd w:val="clear" w:color="auto" w:fill="E2E3E4"/>
          </w:tcPr>
          <w:p>
            <w:pPr>
              <w:spacing w:after="0"/>
              <w:rPr>
                <w:sz w:val="18"/>
                <w:szCs w:val="18"/>
                <w:color w:val="auto"/>
              </w:rPr>
            </w:pPr>
          </w:p>
        </w:tc>
        <w:tc>
          <w:tcPr>
            <w:tcW w:w="13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2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113,305</w:t>
            </w:r>
          </w:p>
        </w:tc>
        <w:tc>
          <w:tcPr>
            <w:tcW w:w="100" w:type="dxa"/>
            <w:vAlign w:val="bottom"/>
            <w:shd w:val="clear" w:color="auto" w:fill="E2E3E4"/>
          </w:tcPr>
          <w:p>
            <w:pPr>
              <w:spacing w:after="0"/>
              <w:rPr>
                <w:sz w:val="18"/>
                <w:szCs w:val="18"/>
                <w:color w:val="auto"/>
              </w:rPr>
            </w:pPr>
          </w:p>
        </w:tc>
        <w:tc>
          <w:tcPr>
            <w:tcW w:w="140" w:type="dxa"/>
            <w:vAlign w:val="bottom"/>
            <w:shd w:val="clear" w:color="auto" w:fill="E2E3E4"/>
          </w:tcPr>
          <w:p>
            <w:pPr>
              <w:spacing w:after="0"/>
              <w:rPr>
                <w:sz w:val="18"/>
                <w:szCs w:val="18"/>
                <w:color w:val="auto"/>
              </w:rPr>
            </w:pPr>
          </w:p>
        </w:tc>
        <w:tc>
          <w:tcPr>
            <w:tcW w:w="100" w:type="dxa"/>
            <w:vAlign w:val="bottom"/>
            <w:gridSpan w:val="2"/>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1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(5,003</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0" w:type="dxa"/>
            <w:vAlign w:val="bottom"/>
          </w:tcPr>
          <w:p>
            <w:pPr>
              <w:spacing w:after="0"/>
              <w:rPr>
                <w:sz w:val="1"/>
                <w:szCs w:val="1"/>
                <w:color w:val="auto"/>
              </w:rPr>
            </w:pPr>
          </w:p>
        </w:tc>
      </w:tr>
      <w:tr>
        <w:trPr>
          <w:trHeight w:val="235"/>
        </w:trPr>
        <w:tc>
          <w:tcPr>
            <w:tcW w:w="366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Operating expenses:</w:t>
            </w:r>
          </w:p>
        </w:tc>
        <w:tc>
          <w:tcPr>
            <w:tcW w:w="1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300" w:type="dxa"/>
            <w:vAlign w:val="bottom"/>
            <w:tcBorders>
              <w:bottom w:val="single" w:sz="8" w:color="E2E3E4"/>
            </w:tcBorders>
          </w:tcPr>
          <w:p>
            <w:pPr>
              <w:spacing w:after="0"/>
              <w:rPr>
                <w:sz w:val="20"/>
                <w:szCs w:val="20"/>
                <w:color w:val="auto"/>
              </w:rPr>
            </w:pPr>
          </w:p>
        </w:tc>
        <w:tc>
          <w:tcPr>
            <w:tcW w:w="110" w:type="dxa"/>
            <w:vAlign w:val="bottom"/>
            <w:tcBorders>
              <w:bottom w:val="single" w:sz="8" w:color="E2E3E4"/>
            </w:tcBorders>
          </w:tcPr>
          <w:p>
            <w:pPr>
              <w:spacing w:after="0"/>
              <w:rPr>
                <w:sz w:val="20"/>
                <w:szCs w:val="20"/>
                <w:color w:val="auto"/>
              </w:rPr>
            </w:pPr>
          </w:p>
        </w:tc>
        <w:tc>
          <w:tcPr>
            <w:tcW w:w="13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3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14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E2E3E4"/>
          </w:tcPr>
          <w:p>
            <w:pPr>
              <w:ind w:left="180"/>
              <w:spacing w:after="0" w:line="217" w:lineRule="exact"/>
              <w:rPr>
                <w:sz w:val="20"/>
                <w:szCs w:val="20"/>
                <w:color w:val="auto"/>
              </w:rPr>
            </w:pPr>
            <w:r>
              <w:rPr>
                <w:rFonts w:ascii="Times New Roman" w:cs="Times New Roman" w:eastAsia="Times New Roman" w:hAnsi="Times New Roman"/>
                <w:sz w:val="19"/>
                <w:szCs w:val="19"/>
                <w:color w:val="231F20"/>
              </w:rPr>
              <w:t>Research and development</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159,682</w:t>
            </w:r>
          </w:p>
        </w:tc>
        <w:tc>
          <w:tcPr>
            <w:tcW w:w="110" w:type="dxa"/>
            <w:vAlign w:val="bottom"/>
            <w:shd w:val="clear" w:color="auto" w:fill="E2E3E4"/>
          </w:tcPr>
          <w:p>
            <w:pPr>
              <w:spacing w:after="0"/>
              <w:rPr>
                <w:sz w:val="18"/>
                <w:szCs w:val="18"/>
                <w:color w:val="auto"/>
              </w:rPr>
            </w:pPr>
          </w:p>
        </w:tc>
        <w:tc>
          <w:tcPr>
            <w:tcW w:w="13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2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130,009</w:t>
            </w:r>
          </w:p>
        </w:tc>
        <w:tc>
          <w:tcPr>
            <w:tcW w:w="100" w:type="dxa"/>
            <w:vAlign w:val="bottom"/>
            <w:shd w:val="clear" w:color="auto" w:fill="E2E3E4"/>
          </w:tcPr>
          <w:p>
            <w:pPr>
              <w:spacing w:after="0"/>
              <w:rPr>
                <w:sz w:val="18"/>
                <w:szCs w:val="18"/>
                <w:color w:val="auto"/>
              </w:rPr>
            </w:pP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1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29,673</w:t>
            </w:r>
          </w:p>
        </w:tc>
        <w:tc>
          <w:tcPr>
            <w:tcW w:w="10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660" w:type="dxa"/>
            <w:vAlign w:val="bottom"/>
            <w:tcBorders>
              <w:bottom w:val="single" w:sz="8" w:color="E2E3E4"/>
            </w:tcBorders>
          </w:tcPr>
          <w:p>
            <w:pPr>
              <w:ind w:left="180"/>
              <w:spacing w:after="0"/>
              <w:rPr>
                <w:sz w:val="20"/>
                <w:szCs w:val="20"/>
                <w:color w:val="auto"/>
              </w:rPr>
            </w:pPr>
            <w:r>
              <w:rPr>
                <w:rFonts w:ascii="Times New Roman" w:cs="Times New Roman" w:eastAsia="Times New Roman" w:hAnsi="Times New Roman"/>
                <w:sz w:val="19"/>
                <w:szCs w:val="19"/>
                <w:color w:val="231F20"/>
              </w:rPr>
              <w:t>General and administrative</w:t>
            </w:r>
          </w:p>
        </w:tc>
        <w:tc>
          <w:tcPr>
            <w:tcW w:w="14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59,023</w:t>
            </w:r>
          </w:p>
        </w:tc>
        <w:tc>
          <w:tcPr>
            <w:tcW w:w="110" w:type="dxa"/>
            <w:vAlign w:val="bottom"/>
            <w:tcBorders>
              <w:bottom w:val="single" w:sz="8" w:color="E2E3E4"/>
            </w:tcBorders>
          </w:tcPr>
          <w:p>
            <w:pPr>
              <w:spacing w:after="0"/>
              <w:rPr>
                <w:sz w:val="22"/>
                <w:szCs w:val="22"/>
                <w:color w:val="auto"/>
              </w:rPr>
            </w:pPr>
          </w:p>
        </w:tc>
        <w:tc>
          <w:tcPr>
            <w:tcW w:w="13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51,292</w:t>
            </w:r>
          </w:p>
        </w:tc>
        <w:tc>
          <w:tcPr>
            <w:tcW w:w="100" w:type="dxa"/>
            <w:vAlign w:val="bottom"/>
            <w:tcBorders>
              <w:bottom w:val="single" w:sz="8" w:color="E2E3E4"/>
            </w:tcBorders>
          </w:tcPr>
          <w:p>
            <w:pPr>
              <w:spacing w:after="0"/>
              <w:rPr>
                <w:sz w:val="22"/>
                <w:szCs w:val="22"/>
                <w:color w:val="auto"/>
              </w:rPr>
            </w:pPr>
          </w:p>
        </w:tc>
        <w:tc>
          <w:tcPr>
            <w:tcW w:w="14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7,731</w:t>
            </w:r>
          </w:p>
        </w:tc>
        <w:tc>
          <w:tcPr>
            <w:tcW w:w="100" w:type="dxa"/>
            <w:vAlign w:val="bottom"/>
            <w:tcBorders>
              <w:bottom w:val="single" w:sz="8" w:color="E2E3E4"/>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660" w:type="dxa"/>
            <w:vAlign w:val="bottom"/>
            <w:tcBorders>
              <w:top w:val="single" w:sz="8" w:color="E2E3E4"/>
              <w:bottom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Total operating expenses</w:t>
            </w:r>
          </w:p>
        </w:tc>
        <w:tc>
          <w:tcPr>
            <w:tcW w:w="140" w:type="dxa"/>
            <w:vAlign w:val="bottom"/>
            <w:tcBorders>
              <w:top w:val="single" w:sz="8" w:color="E2E3E4"/>
              <w:bottom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E2E3E4"/>
            </w:tcBorders>
            <w:shd w:val="clear" w:color="auto" w:fill="E2E3E4"/>
          </w:tcPr>
          <w:p>
            <w:pPr>
              <w:spacing w:after="0"/>
              <w:rPr>
                <w:sz w:val="19"/>
                <w:szCs w:val="19"/>
                <w:color w:val="auto"/>
              </w:rPr>
            </w:pPr>
          </w:p>
        </w:tc>
        <w:tc>
          <w:tcPr>
            <w:tcW w:w="100" w:type="dxa"/>
            <w:vAlign w:val="bottom"/>
            <w:tcBorders>
              <w:top w:val="single" w:sz="8" w:color="E2E3E4"/>
              <w:bottom w:val="single" w:sz="8" w:color="231F20"/>
            </w:tcBorders>
            <w:shd w:val="clear" w:color="auto" w:fill="E2E3E4"/>
          </w:tcPr>
          <w:p>
            <w:pPr>
              <w:spacing w:after="0"/>
              <w:rPr>
                <w:sz w:val="19"/>
                <w:szCs w:val="19"/>
                <w:color w:val="auto"/>
              </w:rPr>
            </w:pPr>
          </w:p>
        </w:tc>
        <w:tc>
          <w:tcPr>
            <w:tcW w:w="1300" w:type="dxa"/>
            <w:vAlign w:val="bottom"/>
            <w:tcBorders>
              <w:top w:val="single" w:sz="8" w:color="E2E3E4"/>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218,705</w:t>
            </w:r>
          </w:p>
        </w:tc>
        <w:tc>
          <w:tcPr>
            <w:tcW w:w="110" w:type="dxa"/>
            <w:vAlign w:val="bottom"/>
            <w:tcBorders>
              <w:top w:val="single" w:sz="8" w:color="E2E3E4"/>
              <w:bottom w:val="single" w:sz="8" w:color="E2E3E4"/>
            </w:tcBorders>
            <w:shd w:val="clear" w:color="auto" w:fill="E2E3E4"/>
          </w:tcPr>
          <w:p>
            <w:pPr>
              <w:spacing w:after="0"/>
              <w:rPr>
                <w:sz w:val="19"/>
                <w:szCs w:val="19"/>
                <w:color w:val="auto"/>
              </w:rPr>
            </w:pPr>
          </w:p>
        </w:tc>
        <w:tc>
          <w:tcPr>
            <w:tcW w:w="130" w:type="dxa"/>
            <w:vAlign w:val="bottom"/>
            <w:tcBorders>
              <w:top w:val="single" w:sz="8" w:color="E2E3E4"/>
              <w:bottom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E2E3E4"/>
            </w:tcBorders>
            <w:shd w:val="clear" w:color="auto" w:fill="E2E3E4"/>
          </w:tcPr>
          <w:p>
            <w:pPr>
              <w:spacing w:after="0"/>
              <w:rPr>
                <w:sz w:val="19"/>
                <w:szCs w:val="19"/>
                <w:color w:val="auto"/>
              </w:rPr>
            </w:pPr>
          </w:p>
        </w:tc>
        <w:tc>
          <w:tcPr>
            <w:tcW w:w="100" w:type="dxa"/>
            <w:vAlign w:val="bottom"/>
            <w:tcBorders>
              <w:top w:val="single" w:sz="8" w:color="E2E3E4"/>
              <w:bottom w:val="single" w:sz="8" w:color="231F20"/>
            </w:tcBorders>
            <w:shd w:val="clear" w:color="auto" w:fill="E2E3E4"/>
          </w:tcPr>
          <w:p>
            <w:pPr>
              <w:spacing w:after="0"/>
              <w:rPr>
                <w:sz w:val="19"/>
                <w:szCs w:val="19"/>
                <w:color w:val="auto"/>
              </w:rPr>
            </w:pPr>
          </w:p>
        </w:tc>
        <w:tc>
          <w:tcPr>
            <w:tcW w:w="1320" w:type="dxa"/>
            <w:vAlign w:val="bottom"/>
            <w:tcBorders>
              <w:top w:val="single" w:sz="8" w:color="E2E3E4"/>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181,301</w:t>
            </w:r>
          </w:p>
        </w:tc>
        <w:tc>
          <w:tcPr>
            <w:tcW w:w="100" w:type="dxa"/>
            <w:vAlign w:val="bottom"/>
            <w:tcBorders>
              <w:top w:val="single" w:sz="8" w:color="E2E3E4"/>
              <w:bottom w:val="single" w:sz="8" w:color="E2E3E4"/>
            </w:tcBorders>
            <w:shd w:val="clear" w:color="auto" w:fill="E2E3E4"/>
          </w:tcPr>
          <w:p>
            <w:pPr>
              <w:spacing w:after="0"/>
              <w:rPr>
                <w:sz w:val="19"/>
                <w:szCs w:val="19"/>
                <w:color w:val="auto"/>
              </w:rPr>
            </w:pPr>
          </w:p>
        </w:tc>
        <w:tc>
          <w:tcPr>
            <w:tcW w:w="140" w:type="dxa"/>
            <w:vAlign w:val="bottom"/>
            <w:tcBorders>
              <w:top w:val="single" w:sz="8" w:color="E2E3E4"/>
              <w:bottom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E2E3E4"/>
            </w:tcBorders>
            <w:shd w:val="clear" w:color="auto" w:fill="E2E3E4"/>
          </w:tcPr>
          <w:p>
            <w:pPr>
              <w:spacing w:after="0"/>
              <w:rPr>
                <w:sz w:val="19"/>
                <w:szCs w:val="19"/>
                <w:color w:val="auto"/>
              </w:rPr>
            </w:pPr>
          </w:p>
        </w:tc>
        <w:tc>
          <w:tcPr>
            <w:tcW w:w="80" w:type="dxa"/>
            <w:vAlign w:val="bottom"/>
            <w:tcBorders>
              <w:top w:val="single" w:sz="8" w:color="E2E3E4"/>
              <w:bottom w:val="single" w:sz="8" w:color="231F20"/>
            </w:tcBorders>
            <w:shd w:val="clear" w:color="auto" w:fill="E2E3E4"/>
          </w:tcPr>
          <w:p>
            <w:pPr>
              <w:spacing w:after="0"/>
              <w:rPr>
                <w:sz w:val="19"/>
                <w:szCs w:val="19"/>
                <w:color w:val="auto"/>
              </w:rPr>
            </w:pPr>
          </w:p>
        </w:tc>
        <w:tc>
          <w:tcPr>
            <w:tcW w:w="1140" w:type="dxa"/>
            <w:vAlign w:val="bottom"/>
            <w:tcBorders>
              <w:top w:val="single" w:sz="8" w:color="E2E3E4"/>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37,404</w:t>
            </w:r>
          </w:p>
        </w:tc>
        <w:tc>
          <w:tcPr>
            <w:tcW w:w="100" w:type="dxa"/>
            <w:vAlign w:val="bottom"/>
            <w:tcBorders>
              <w:top w:val="single" w:sz="8" w:color="E2E3E4"/>
              <w:bottom w:val="single" w:sz="8" w:color="E2E3E4"/>
            </w:tcBorders>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660" w:type="dxa"/>
            <w:vAlign w:val="bottom"/>
            <w:tcBorders>
              <w:bottom w:val="single" w:sz="8" w:color="E2E3E4"/>
            </w:tcBorders>
          </w:tcPr>
          <w:p>
            <w:pPr>
              <w:spacing w:after="0" w:line="204" w:lineRule="exact"/>
              <w:rPr>
                <w:sz w:val="20"/>
                <w:szCs w:val="20"/>
                <w:color w:val="auto"/>
              </w:rPr>
            </w:pPr>
            <w:r>
              <w:rPr>
                <w:rFonts w:ascii="Times New Roman" w:cs="Times New Roman" w:eastAsia="Times New Roman" w:hAnsi="Times New Roman"/>
                <w:sz w:val="19"/>
                <w:szCs w:val="19"/>
                <w:color w:val="231F20"/>
              </w:rPr>
              <w:t>Loss from operations</w:t>
            </w:r>
          </w:p>
        </w:tc>
        <w:tc>
          <w:tcPr>
            <w:tcW w:w="14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300" w:type="dxa"/>
            <w:vAlign w:val="bottom"/>
            <w:tcBorders>
              <w:bottom w:val="single" w:sz="8" w:color="E2E3E4"/>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(110,403</w:t>
            </w:r>
          </w:p>
        </w:tc>
        <w:tc>
          <w:tcPr>
            <w:tcW w:w="110" w:type="dxa"/>
            <w:vAlign w:val="bottom"/>
            <w:tcBorders>
              <w:bottom w:val="single" w:sz="8" w:color="E2E3E4"/>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w w:val="94"/>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320" w:type="dxa"/>
            <w:vAlign w:val="bottom"/>
            <w:tcBorders>
              <w:bottom w:val="single" w:sz="8" w:color="E2E3E4"/>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(67,996</w:t>
            </w:r>
          </w:p>
        </w:tc>
        <w:tc>
          <w:tcPr>
            <w:tcW w:w="1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4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1140" w:type="dxa"/>
            <w:vAlign w:val="bottom"/>
            <w:tcBorders>
              <w:bottom w:val="single" w:sz="8" w:color="E2E3E4"/>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42,407</w:t>
            </w:r>
          </w:p>
        </w:tc>
        <w:tc>
          <w:tcPr>
            <w:tcW w:w="10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E2E3E4"/>
            </w:tcBorders>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Total other income, net</w:t>
            </w:r>
          </w:p>
        </w:tc>
        <w:tc>
          <w:tcPr>
            <w:tcW w:w="14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30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13,395</w:t>
            </w:r>
          </w:p>
        </w:tc>
        <w:tc>
          <w:tcPr>
            <w:tcW w:w="110" w:type="dxa"/>
            <w:vAlign w:val="bottom"/>
            <w:tcBorders>
              <w:bottom w:val="single" w:sz="8" w:color="E2E3E4"/>
            </w:tcBorders>
            <w:shd w:val="clear" w:color="auto" w:fill="E2E3E4"/>
          </w:tcPr>
          <w:p>
            <w:pPr>
              <w:spacing w:after="0"/>
              <w:rPr>
                <w:sz w:val="20"/>
                <w:szCs w:val="20"/>
                <w:color w:val="auto"/>
              </w:rPr>
            </w:pPr>
          </w:p>
        </w:tc>
        <w:tc>
          <w:tcPr>
            <w:tcW w:w="13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32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9,806</w:t>
            </w:r>
          </w:p>
        </w:tc>
        <w:tc>
          <w:tcPr>
            <w:tcW w:w="100" w:type="dxa"/>
            <w:vAlign w:val="bottom"/>
            <w:tcBorders>
              <w:bottom w:val="single" w:sz="8" w:color="E2E3E4"/>
            </w:tcBorders>
            <w:shd w:val="clear" w:color="auto" w:fill="E2E3E4"/>
          </w:tcPr>
          <w:p>
            <w:pPr>
              <w:spacing w:after="0"/>
              <w:rPr>
                <w:sz w:val="20"/>
                <w:szCs w:val="20"/>
                <w:color w:val="auto"/>
              </w:rPr>
            </w:pPr>
          </w:p>
        </w:tc>
        <w:tc>
          <w:tcPr>
            <w:tcW w:w="14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80" w:type="dxa"/>
            <w:vAlign w:val="bottom"/>
            <w:tcBorders>
              <w:bottom w:val="single" w:sz="8" w:color="231F20"/>
            </w:tcBorders>
            <w:shd w:val="clear" w:color="auto" w:fill="E2E3E4"/>
          </w:tcPr>
          <w:p>
            <w:pPr>
              <w:spacing w:after="0"/>
              <w:rPr>
                <w:sz w:val="20"/>
                <w:szCs w:val="20"/>
                <w:color w:val="auto"/>
              </w:rPr>
            </w:pPr>
          </w:p>
        </w:tc>
        <w:tc>
          <w:tcPr>
            <w:tcW w:w="114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3,589</w:t>
            </w:r>
          </w:p>
        </w:tc>
        <w:tc>
          <w:tcPr>
            <w:tcW w:w="100" w:type="dxa"/>
            <w:vAlign w:val="bottom"/>
            <w:tcBorders>
              <w:bottom w:val="single" w:sz="8" w:color="E2E3E4"/>
            </w:tcBorders>
            <w:shd w:val="clear" w:color="auto" w:fill="E2E3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660" w:type="dxa"/>
            <w:vAlign w:val="bottom"/>
            <w:tcBorders>
              <w:bottom w:val="single" w:sz="8" w:color="E2E3E4"/>
            </w:tcBorders>
          </w:tcPr>
          <w:p>
            <w:pPr>
              <w:spacing w:after="0" w:line="207" w:lineRule="exact"/>
              <w:rPr>
                <w:sz w:val="20"/>
                <w:szCs w:val="20"/>
                <w:color w:val="auto"/>
              </w:rPr>
            </w:pPr>
            <w:r>
              <w:rPr>
                <w:rFonts w:ascii="Times New Roman" w:cs="Times New Roman" w:eastAsia="Times New Roman" w:hAnsi="Times New Roman"/>
                <w:sz w:val="19"/>
                <w:szCs w:val="19"/>
                <w:color w:val="231F20"/>
              </w:rPr>
              <w:t>Loss before income taxes</w:t>
            </w:r>
          </w:p>
        </w:tc>
        <w:tc>
          <w:tcPr>
            <w:tcW w:w="14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300" w:type="dxa"/>
            <w:vAlign w:val="bottom"/>
            <w:tcBorders>
              <w:bottom w:val="single" w:sz="8" w:color="E2E3E4"/>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(97,008</w:t>
            </w:r>
          </w:p>
        </w:tc>
        <w:tc>
          <w:tcPr>
            <w:tcW w:w="110" w:type="dxa"/>
            <w:vAlign w:val="bottom"/>
            <w:tcBorders>
              <w:bottom w:val="single" w:sz="8" w:color="E2E3E4"/>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w w:val="94"/>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320" w:type="dxa"/>
            <w:vAlign w:val="bottom"/>
            <w:tcBorders>
              <w:bottom w:val="single" w:sz="8" w:color="E2E3E4"/>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(58,190</w:t>
            </w:r>
          </w:p>
        </w:tc>
        <w:tc>
          <w:tcPr>
            <w:tcW w:w="1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4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1140" w:type="dxa"/>
            <w:vAlign w:val="bottom"/>
            <w:tcBorders>
              <w:bottom w:val="single" w:sz="8" w:color="E2E3E4"/>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38,818</w:t>
            </w:r>
          </w:p>
        </w:tc>
        <w:tc>
          <w:tcPr>
            <w:tcW w:w="10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E2E3E4"/>
            </w:tcBorders>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Income tax benefit</w:t>
            </w:r>
          </w:p>
        </w:tc>
        <w:tc>
          <w:tcPr>
            <w:tcW w:w="140" w:type="dxa"/>
            <w:vAlign w:val="bottom"/>
            <w:tcBorders>
              <w:bottom w:val="single" w:sz="8" w:color="E2E3E4"/>
            </w:tcBorders>
            <w:shd w:val="clear" w:color="auto" w:fill="E2E3E4"/>
          </w:tcPr>
          <w:p>
            <w:pPr>
              <w:spacing w:after="0"/>
              <w:rPr>
                <w:sz w:val="22"/>
                <w:szCs w:val="22"/>
                <w:color w:val="auto"/>
              </w:rPr>
            </w:pPr>
          </w:p>
        </w:tc>
        <w:tc>
          <w:tcPr>
            <w:tcW w:w="20" w:type="dxa"/>
            <w:vAlign w:val="bottom"/>
            <w:tcBorders>
              <w:bottom w:val="single" w:sz="8" w:color="E2E3E4"/>
            </w:tcBorders>
            <w:shd w:val="clear" w:color="auto" w:fill="E2E3E4"/>
          </w:tcPr>
          <w:p>
            <w:pPr>
              <w:spacing w:after="0"/>
              <w:rPr>
                <w:sz w:val="22"/>
                <w:szCs w:val="22"/>
                <w:color w:val="auto"/>
              </w:rPr>
            </w:pPr>
          </w:p>
        </w:tc>
        <w:tc>
          <w:tcPr>
            <w:tcW w:w="100" w:type="dxa"/>
            <w:vAlign w:val="bottom"/>
            <w:tcBorders>
              <w:bottom w:val="single" w:sz="8" w:color="231F20"/>
            </w:tcBorders>
            <w:shd w:val="clear" w:color="auto" w:fill="E2E3E4"/>
          </w:tcPr>
          <w:p>
            <w:pPr>
              <w:spacing w:after="0"/>
              <w:rPr>
                <w:sz w:val="22"/>
                <w:szCs w:val="22"/>
                <w:color w:val="auto"/>
              </w:rPr>
            </w:pPr>
          </w:p>
        </w:tc>
        <w:tc>
          <w:tcPr>
            <w:tcW w:w="130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10" w:type="dxa"/>
            <w:vAlign w:val="bottom"/>
            <w:tcBorders>
              <w:bottom w:val="single" w:sz="8" w:color="E2E3E4"/>
            </w:tcBorders>
            <w:shd w:val="clear" w:color="auto" w:fill="E2E3E4"/>
          </w:tcPr>
          <w:p>
            <w:pPr>
              <w:spacing w:after="0"/>
              <w:rPr>
                <w:sz w:val="22"/>
                <w:szCs w:val="22"/>
                <w:color w:val="auto"/>
              </w:rPr>
            </w:pPr>
          </w:p>
        </w:tc>
        <w:tc>
          <w:tcPr>
            <w:tcW w:w="130" w:type="dxa"/>
            <w:vAlign w:val="bottom"/>
            <w:tcBorders>
              <w:bottom w:val="single" w:sz="8" w:color="E2E3E4"/>
            </w:tcBorders>
            <w:shd w:val="clear" w:color="auto" w:fill="E2E3E4"/>
          </w:tcPr>
          <w:p>
            <w:pPr>
              <w:spacing w:after="0"/>
              <w:rPr>
                <w:sz w:val="22"/>
                <w:szCs w:val="22"/>
                <w:color w:val="auto"/>
              </w:rPr>
            </w:pPr>
          </w:p>
        </w:tc>
        <w:tc>
          <w:tcPr>
            <w:tcW w:w="20" w:type="dxa"/>
            <w:vAlign w:val="bottom"/>
            <w:tcBorders>
              <w:bottom w:val="single" w:sz="8" w:color="E2E3E4"/>
            </w:tcBorders>
            <w:shd w:val="clear" w:color="auto" w:fill="E2E3E4"/>
          </w:tcPr>
          <w:p>
            <w:pPr>
              <w:spacing w:after="0"/>
              <w:rPr>
                <w:sz w:val="22"/>
                <w:szCs w:val="22"/>
                <w:color w:val="auto"/>
              </w:rPr>
            </w:pPr>
          </w:p>
        </w:tc>
        <w:tc>
          <w:tcPr>
            <w:tcW w:w="100" w:type="dxa"/>
            <w:vAlign w:val="bottom"/>
            <w:tcBorders>
              <w:bottom w:val="single" w:sz="8" w:color="231F20"/>
            </w:tcBorders>
            <w:shd w:val="clear" w:color="auto" w:fill="E2E3E4"/>
          </w:tcPr>
          <w:p>
            <w:pPr>
              <w:spacing w:after="0"/>
              <w:rPr>
                <w:sz w:val="22"/>
                <w:szCs w:val="22"/>
                <w:color w:val="auto"/>
              </w:rPr>
            </w:pPr>
          </w:p>
        </w:tc>
        <w:tc>
          <w:tcPr>
            <w:tcW w:w="132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677</w:t>
            </w:r>
          </w:p>
        </w:tc>
        <w:tc>
          <w:tcPr>
            <w:tcW w:w="100" w:type="dxa"/>
            <w:vAlign w:val="bottom"/>
            <w:tcBorders>
              <w:bottom w:val="single" w:sz="8" w:color="E2E3E4"/>
            </w:tcBorders>
            <w:shd w:val="clear" w:color="auto" w:fill="E2E3E4"/>
          </w:tcPr>
          <w:p>
            <w:pPr>
              <w:spacing w:after="0"/>
              <w:rPr>
                <w:sz w:val="22"/>
                <w:szCs w:val="22"/>
                <w:color w:val="auto"/>
              </w:rPr>
            </w:pPr>
          </w:p>
        </w:tc>
        <w:tc>
          <w:tcPr>
            <w:tcW w:w="140" w:type="dxa"/>
            <w:vAlign w:val="bottom"/>
            <w:tcBorders>
              <w:bottom w:val="single" w:sz="8" w:color="E2E3E4"/>
            </w:tcBorders>
            <w:shd w:val="clear" w:color="auto" w:fill="E2E3E4"/>
          </w:tcPr>
          <w:p>
            <w:pPr>
              <w:spacing w:after="0"/>
              <w:rPr>
                <w:sz w:val="22"/>
                <w:szCs w:val="22"/>
                <w:color w:val="auto"/>
              </w:rPr>
            </w:pPr>
          </w:p>
        </w:tc>
        <w:tc>
          <w:tcPr>
            <w:tcW w:w="20" w:type="dxa"/>
            <w:vAlign w:val="bottom"/>
            <w:tcBorders>
              <w:bottom w:val="single" w:sz="8" w:color="E2E3E4"/>
            </w:tcBorders>
            <w:shd w:val="clear" w:color="auto" w:fill="E2E3E4"/>
          </w:tcPr>
          <w:p>
            <w:pPr>
              <w:spacing w:after="0"/>
              <w:rPr>
                <w:sz w:val="22"/>
                <w:szCs w:val="22"/>
                <w:color w:val="auto"/>
              </w:rPr>
            </w:pPr>
          </w:p>
        </w:tc>
        <w:tc>
          <w:tcPr>
            <w:tcW w:w="80" w:type="dxa"/>
            <w:vAlign w:val="bottom"/>
            <w:tcBorders>
              <w:bottom w:val="single" w:sz="8" w:color="231F20"/>
            </w:tcBorders>
            <w:shd w:val="clear" w:color="auto" w:fill="E2E3E4"/>
          </w:tcPr>
          <w:p>
            <w:pPr>
              <w:spacing w:after="0"/>
              <w:rPr>
                <w:sz w:val="22"/>
                <w:szCs w:val="22"/>
                <w:color w:val="auto"/>
              </w:rPr>
            </w:pPr>
          </w:p>
        </w:tc>
        <w:tc>
          <w:tcPr>
            <w:tcW w:w="114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(677</w:t>
            </w:r>
          </w:p>
        </w:tc>
        <w:tc>
          <w:tcPr>
            <w:tcW w:w="10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0" w:type="dxa"/>
            <w:vAlign w:val="bottom"/>
          </w:tcPr>
          <w:p>
            <w:pPr>
              <w:spacing w:after="0"/>
              <w:rPr>
                <w:sz w:val="1"/>
                <w:szCs w:val="1"/>
                <w:color w:val="auto"/>
              </w:rPr>
            </w:pPr>
          </w:p>
        </w:tc>
      </w:tr>
      <w:tr>
        <w:trPr>
          <w:trHeight w:val="187"/>
        </w:trPr>
        <w:tc>
          <w:tcPr>
            <w:tcW w:w="3660" w:type="dxa"/>
            <w:vAlign w:val="bottom"/>
          </w:tcPr>
          <w:p>
            <w:pPr>
              <w:spacing w:after="0" w:line="187" w:lineRule="exact"/>
              <w:rPr>
                <w:sz w:val="20"/>
                <w:szCs w:val="20"/>
                <w:color w:val="auto"/>
              </w:rPr>
            </w:pPr>
            <w:r>
              <w:rPr>
                <w:rFonts w:ascii="Times New Roman" w:cs="Times New Roman" w:eastAsia="Times New Roman" w:hAnsi="Times New Roman"/>
                <w:sz w:val="19"/>
                <w:szCs w:val="19"/>
                <w:color w:val="231F20"/>
              </w:rPr>
              <w:t>Net loss</w:t>
            </w:r>
          </w:p>
        </w:tc>
        <w:tc>
          <w:tcPr>
            <w:tcW w:w="160" w:type="dxa"/>
            <w:vAlign w:val="bottom"/>
            <w:gridSpan w:val="2"/>
          </w:tcPr>
          <w:p>
            <w:pPr>
              <w:spacing w:after="0"/>
              <w:rPr>
                <w:sz w:val="16"/>
                <w:szCs w:val="16"/>
                <w:color w:val="auto"/>
              </w:rPr>
            </w:pP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rPr>
              <w:t>(97,008</w:t>
            </w:r>
          </w:p>
        </w:tc>
        <w:tc>
          <w:tcPr>
            <w:tcW w:w="11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w w:val="94"/>
              </w:rPr>
              <w:t>)</w:t>
            </w: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rPr>
              <w:t>(57,513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rPr>
              <w:t>39,495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3051175</wp:posOffset>
                </wp:positionH>
                <wp:positionV relativeFrom="paragraph">
                  <wp:posOffset>-1908175</wp:posOffset>
                </wp:positionV>
                <wp:extent cx="196723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7230" cy="4763"/>
                        </a:xfrm>
                        <a:prstGeom prst="line">
                          <a:avLst/>
                        </a:prstGeom>
                        <a:solidFill>
                          <a:srgbClr val="FFFFFF"/>
                        </a:solidFill>
                        <a:ln w="8870">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25pt,-150.2499pt" to="395.15pt,-150.2499pt" o:allowincell="f" strokecolor="#FFFFFF" strokeweight="0.6984pt"/>
            </w:pict>
          </mc:Fallback>
        </mc:AlternateContent>
        <mc:AlternateContent>
          <mc:Choice Requires="wps">
            <w:drawing>
              <wp:anchor simplePos="0" relativeHeight="251657728" behindDoc="1" locked="0" layoutInCell="0" allowOverlap="1">
                <wp:simplePos x="0" y="0"/>
                <wp:positionH relativeFrom="column">
                  <wp:posOffset>3051175</wp:posOffset>
                </wp:positionH>
                <wp:positionV relativeFrom="paragraph">
                  <wp:posOffset>-1668780</wp:posOffset>
                </wp:positionV>
                <wp:extent cx="9042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240" cy="4763"/>
                        </a:xfrm>
                        <a:prstGeom prst="line">
                          <a:avLst/>
                        </a:prstGeom>
                        <a:solidFill>
                          <a:srgbClr val="FFFFFF"/>
                        </a:solidFill>
                        <a:ln w="2954">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25pt,-131.3999pt" to="311.45pt,-131.3999pt" o:allowincell="f" strokecolor="#FFFFFF" strokeweight="0.2326pt"/>
            </w:pict>
          </mc:Fallback>
        </mc:AlternateContent>
        <mc:AlternateContent>
          <mc:Choice Requires="wps">
            <w:drawing>
              <wp:anchor simplePos="0" relativeHeight="251657728" behindDoc="1" locked="0" layoutInCell="0" allowOverlap="1">
                <wp:simplePos x="0" y="0"/>
                <wp:positionH relativeFrom="column">
                  <wp:posOffset>4113530</wp:posOffset>
                </wp:positionH>
                <wp:positionV relativeFrom="paragraph">
                  <wp:posOffset>-1668780</wp:posOffset>
                </wp:positionV>
                <wp:extent cx="9048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875" cy="4763"/>
                        </a:xfrm>
                        <a:prstGeom prst="line">
                          <a:avLst/>
                        </a:prstGeom>
                        <a:solidFill>
                          <a:srgbClr val="FFFFFF"/>
                        </a:solidFill>
                        <a:ln w="2954">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9pt,-131.3999pt" to="395.15pt,-131.3999pt" o:allowincell="f" strokecolor="#FFFFFF" strokeweight="0.2326pt"/>
            </w:pict>
          </mc:Fallback>
        </mc:AlternateContent>
        <mc:AlternateContent>
          <mc:Choice Requires="wps">
            <w:drawing>
              <wp:anchor simplePos="0" relativeHeight="251657728" behindDoc="1" locked="0" layoutInCell="0" allowOverlap="1">
                <wp:simplePos x="0" y="0"/>
                <wp:positionH relativeFrom="column">
                  <wp:posOffset>5176520</wp:posOffset>
                </wp:positionH>
                <wp:positionV relativeFrom="paragraph">
                  <wp:posOffset>-1668780</wp:posOffset>
                </wp:positionV>
                <wp:extent cx="7778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875" cy="4763"/>
                        </a:xfrm>
                        <a:prstGeom prst="line">
                          <a:avLst/>
                        </a:prstGeom>
                        <a:solidFill>
                          <a:srgbClr val="FFFFFF"/>
                        </a:solidFill>
                        <a:ln w="2954">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6pt,-131.3999pt" to="468.85pt,-131.3999pt" o:allowincell="f" strokecolor="#FFFFFF" strokeweight="0.2326pt"/>
            </w:pict>
          </mc:Fallback>
        </mc:AlternateContent>
        <mc:AlternateContent>
          <mc:Choice Requires="wps">
            <w:drawing>
              <wp:anchor simplePos="0" relativeHeight="251657728" behindDoc="1" locked="0" layoutInCell="0" allowOverlap="1">
                <wp:simplePos x="0" y="0"/>
                <wp:positionH relativeFrom="column">
                  <wp:posOffset>5954395</wp:posOffset>
                </wp:positionH>
                <wp:positionV relativeFrom="paragraph">
                  <wp:posOffset>-1671320</wp:posOffset>
                </wp:positionV>
                <wp:extent cx="6604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40" cy="4763"/>
                        </a:xfrm>
                        <a:prstGeom prst="line">
                          <a:avLst/>
                        </a:prstGeom>
                        <a:solidFill>
                          <a:srgbClr val="FFFFFF"/>
                        </a:solidFill>
                        <a:ln w="8868">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85pt,-131.5999pt" to="474.05pt,-131.5999pt" o:allowincell="f" strokecolor="#FFFFFF" strokeweight="0.6983pt"/>
            </w:pict>
          </mc:Fallback>
        </mc:AlternateContent>
        <mc:AlternateContent>
          <mc:Choice Requires="wps">
            <w:drawing>
              <wp:anchor simplePos="0" relativeHeight="251657728" behindDoc="1" locked="0" layoutInCell="0" allowOverlap="1">
                <wp:simplePos x="0" y="0"/>
                <wp:positionH relativeFrom="column">
                  <wp:posOffset>632460</wp:posOffset>
                </wp:positionH>
                <wp:positionV relativeFrom="paragraph">
                  <wp:posOffset>-1399540</wp:posOffset>
                </wp:positionV>
                <wp:extent cx="53879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7975" cy="4763"/>
                        </a:xfrm>
                        <a:prstGeom prst="line">
                          <a:avLst/>
                        </a:prstGeom>
                        <a:solidFill>
                          <a:srgbClr val="FFFFFF"/>
                        </a:solidFill>
                        <a:ln w="8868">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pt,-110.1999pt" to="474.05pt,-110.1999pt" o:allowincell="f" strokecolor="#FFFFFF" strokeweight="0.6983pt"/>
            </w:pict>
          </mc:Fallback>
        </mc:AlternateConten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Revenue</w:t>
      </w:r>
    </w:p>
    <w:p>
      <w:pPr>
        <w:spacing w:after="0" w:line="11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231F20"/>
        </w:rPr>
        <w:t>Revenue for the years ended December 31, 2024 and 2023, was $ 108.3 million and $113.3 million, respectively, and was earned under the GSK Collaboration Agreement and the Takeda Collaboration Agreement.</w:t>
      </w:r>
    </w:p>
    <w:p>
      <w:pPr>
        <w:spacing w:after="0" w:line="3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231F20"/>
        </w:rPr>
        <w:t>The $5.0 million decrease in revenue year over year was driven by the revenue recognized under the GSK Collaboration Agreement, partially offset by the increase in revenue recognized under the Takeda Collaboration Agreement. The $108.3 million in revenue recognized during the year ended December 31, 2024 was comprised of $37.0 million in revenue recognized under the GSK Collaboration Agreement and $71.3 million of revenue recognized under the Takeda Collaboration Agreement. The $113.3 million in revenue recognized during the year ended December 31, 2023 was comprised of $66.3 million in revenue recognized under the GSK Collaboration Agreement and $47.0 million of revenue recognized under the Takeda Collaboration Agreement. The increase in the Takeda Collaboration revenue earned year over year was primarily due to the termination of the collaboration in October 2024, which led to the recognition of the remainder of the deferred revenue related to the research and development services, as well as the license related to the HD program. This was offset by the decrease in the GSK revenue earned year over year primarily related to the AATD program.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Research and Development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summarizes our research and development expenses incurred for the years ended December 31, 2024 and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7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940" w:type="dxa"/>
            <w:vAlign w:val="bottom"/>
            <w:tcBorders>
              <w:bottom w:val="single" w:sz="8" w:color="231F20"/>
            </w:tcBorders>
            <w:gridSpan w:val="5"/>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Increase</w:t>
            </w:r>
          </w:p>
        </w:tc>
        <w:tc>
          <w:tcPr>
            <w:tcW w:w="0" w:type="dxa"/>
            <w:vAlign w:val="bottom"/>
          </w:tcPr>
          <w:p>
            <w:pPr>
              <w:spacing w:after="0"/>
              <w:rPr>
                <w:sz w:val="1"/>
                <w:szCs w:val="1"/>
                <w:color w:val="auto"/>
              </w:rPr>
            </w:pPr>
          </w:p>
        </w:tc>
      </w:tr>
      <w:tr>
        <w:trPr>
          <w:trHeight w:val="166"/>
        </w:trPr>
        <w:tc>
          <w:tcPr>
            <w:tcW w:w="567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7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6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44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(Decrease)</w:t>
            </w:r>
          </w:p>
        </w:tc>
        <w:tc>
          <w:tcPr>
            <w:tcW w:w="0" w:type="dxa"/>
            <w:vAlign w:val="bottom"/>
          </w:tcPr>
          <w:p>
            <w:pPr>
              <w:spacing w:after="0"/>
              <w:rPr>
                <w:sz w:val="1"/>
                <w:szCs w:val="1"/>
                <w:color w:val="auto"/>
              </w:rPr>
            </w:pPr>
          </w:p>
        </w:tc>
      </w:tr>
      <w:tr>
        <w:trPr>
          <w:trHeight w:val="171"/>
        </w:trPr>
        <w:tc>
          <w:tcPr>
            <w:tcW w:w="5670" w:type="dxa"/>
            <w:vAlign w:val="bottom"/>
            <w:tcBorders>
              <w:bottom w:val="single" w:sz="8" w:color="E2E3E4"/>
            </w:tcBorders>
          </w:tcPr>
          <w:p>
            <w:pPr>
              <w:spacing w:after="0"/>
              <w:rPr>
                <w:sz w:val="14"/>
                <w:szCs w:val="14"/>
                <w:color w:val="auto"/>
              </w:rPr>
            </w:pPr>
          </w:p>
        </w:tc>
        <w:tc>
          <w:tcPr>
            <w:tcW w:w="15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top w:val="single" w:sz="8" w:color="231F20"/>
              <w:bottom w:val="single" w:sz="8" w:color="E2E3E4"/>
            </w:tcBorders>
          </w:tcPr>
          <w:p>
            <w:pPr>
              <w:spacing w:after="0"/>
              <w:rPr>
                <w:sz w:val="14"/>
                <w:szCs w:val="14"/>
                <w:color w:val="auto"/>
              </w:rPr>
            </w:pPr>
          </w:p>
        </w:tc>
        <w:tc>
          <w:tcPr>
            <w:tcW w:w="1300" w:type="dxa"/>
            <w:vAlign w:val="bottom"/>
            <w:tcBorders>
              <w:top w:val="single" w:sz="8" w:color="231F20"/>
              <w:bottom w:val="single" w:sz="8" w:color="E2E3E4"/>
            </w:tcBorders>
          </w:tcPr>
          <w:p>
            <w:pPr>
              <w:spacing w:after="0"/>
              <w:rPr>
                <w:sz w:val="14"/>
                <w:szCs w:val="14"/>
                <w:color w:val="auto"/>
              </w:rPr>
            </w:pPr>
          </w:p>
        </w:tc>
        <w:tc>
          <w:tcPr>
            <w:tcW w:w="24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top w:val="single" w:sz="8" w:color="231F20"/>
              <w:bottom w:val="single" w:sz="8" w:color="E2E3E4"/>
            </w:tcBorders>
          </w:tcPr>
          <w:p>
            <w:pPr>
              <w:spacing w:after="0"/>
              <w:rPr>
                <w:sz w:val="14"/>
                <w:szCs w:val="14"/>
                <w:color w:val="auto"/>
              </w:rPr>
            </w:pPr>
          </w:p>
        </w:tc>
        <w:tc>
          <w:tcPr>
            <w:tcW w:w="1280" w:type="dxa"/>
            <w:vAlign w:val="bottom"/>
            <w:tcBorders>
              <w:top w:val="single" w:sz="8" w:color="231F20"/>
              <w:bottom w:val="single" w:sz="8" w:color="E2E3E4"/>
            </w:tcBorders>
          </w:tcPr>
          <w:p>
            <w:pPr>
              <w:jc w:val="right"/>
              <w:ind w:right="248"/>
              <w:spacing w:after="0" w:line="171" w:lineRule="exact"/>
              <w:rPr>
                <w:sz w:val="20"/>
                <w:szCs w:val="20"/>
                <w:color w:val="auto"/>
              </w:rPr>
            </w:pPr>
            <w:r>
              <w:rPr>
                <w:rFonts w:ascii="Times New Roman" w:cs="Times New Roman" w:eastAsia="Times New Roman" w:hAnsi="Times New Roman"/>
                <w:sz w:val="16"/>
                <w:szCs w:val="16"/>
                <w:color w:val="231F20"/>
              </w:rPr>
              <w:t>(in thousands)</w:t>
            </w:r>
          </w:p>
        </w:tc>
        <w:tc>
          <w:tcPr>
            <w:tcW w:w="24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top w:val="single" w:sz="8" w:color="231F20"/>
              <w:bottom w:val="single" w:sz="8" w:color="E2E3E4"/>
            </w:tcBorders>
          </w:tcPr>
          <w:p>
            <w:pPr>
              <w:spacing w:after="0"/>
              <w:rPr>
                <w:sz w:val="14"/>
                <w:szCs w:val="14"/>
                <w:color w:val="auto"/>
              </w:rPr>
            </w:pPr>
          </w:p>
        </w:tc>
        <w:tc>
          <w:tcPr>
            <w:tcW w:w="1140" w:type="dxa"/>
            <w:vAlign w:val="bottom"/>
            <w:tcBorders>
              <w:top w:val="single" w:sz="8" w:color="231F20"/>
              <w:bottom w:val="single" w:sz="8" w:color="E2E3E4"/>
            </w:tcBorders>
          </w:tcPr>
          <w:p>
            <w:pPr>
              <w:spacing w:after="0"/>
              <w:rPr>
                <w:sz w:val="14"/>
                <w:szCs w:val="14"/>
                <w:color w:val="auto"/>
              </w:rPr>
            </w:pPr>
          </w:p>
        </w:tc>
        <w:tc>
          <w:tcPr>
            <w:tcW w:w="20" w:type="dxa"/>
            <w:vAlign w:val="bottom"/>
            <w:tcBorders>
              <w:top w:val="single" w:sz="8" w:color="231F20"/>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7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INHBE program</w:t>
            </w:r>
          </w:p>
        </w:tc>
        <w:tc>
          <w:tcPr>
            <w:tcW w:w="15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3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9,294</w:t>
            </w:r>
          </w:p>
        </w:tc>
        <w:tc>
          <w:tcPr>
            <w:tcW w:w="2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2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229</w:t>
            </w:r>
          </w:p>
        </w:tc>
        <w:tc>
          <w:tcPr>
            <w:tcW w:w="2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1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9,065</w:t>
            </w: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40" w:type="dxa"/>
            <w:vAlign w:val="bottom"/>
            <w:tcBorders>
              <w:bottom w:val="single" w:sz="8" w:color="E2E3E4"/>
            </w:tcBorders>
            <w:gridSpan w:val="3"/>
          </w:tcPr>
          <w:p>
            <w:pPr>
              <w:spacing w:after="0"/>
              <w:rPr>
                <w:sz w:val="20"/>
                <w:szCs w:val="20"/>
                <w:color w:val="auto"/>
              </w:rPr>
            </w:pPr>
            <w:r>
              <w:rPr>
                <w:rFonts w:ascii="Times New Roman" w:cs="Times New Roman" w:eastAsia="Times New Roman" w:hAnsi="Times New Roman"/>
                <w:sz w:val="19"/>
                <w:szCs w:val="19"/>
                <w:color w:val="231F20"/>
              </w:rPr>
              <w:t>AATD program</w:t>
            </w:r>
          </w:p>
        </w:tc>
        <w:tc>
          <w:tcPr>
            <w:tcW w:w="100" w:type="dxa"/>
            <w:vAlign w:val="bottom"/>
            <w:tcBorders>
              <w:bottom w:val="single" w:sz="8" w:color="E2E3E4"/>
            </w:tcBorders>
          </w:tcPr>
          <w:p>
            <w:pPr>
              <w:spacing w:after="0"/>
              <w:rPr>
                <w:sz w:val="20"/>
                <w:szCs w:val="20"/>
                <w:color w:val="auto"/>
              </w:rPr>
            </w:pPr>
          </w:p>
        </w:tc>
        <w:tc>
          <w:tcPr>
            <w:tcW w:w="13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11,666</w:t>
            </w:r>
          </w:p>
        </w:tc>
        <w:tc>
          <w:tcPr>
            <w:tcW w:w="2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2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8,453</w:t>
            </w:r>
          </w:p>
        </w:tc>
        <w:tc>
          <w:tcPr>
            <w:tcW w:w="2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1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3,213</w:t>
            </w: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67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DMD program</w:t>
            </w:r>
          </w:p>
        </w:tc>
        <w:tc>
          <w:tcPr>
            <w:tcW w:w="15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15,536</w:t>
            </w:r>
          </w:p>
        </w:tc>
        <w:tc>
          <w:tcPr>
            <w:tcW w:w="2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2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7,808</w:t>
            </w:r>
          </w:p>
        </w:tc>
        <w:tc>
          <w:tcPr>
            <w:tcW w:w="2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1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7,728</w:t>
            </w: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E2E3E4"/>
            </w:tcBorders>
            <w:gridSpan w:val="3"/>
          </w:tcPr>
          <w:p>
            <w:pPr>
              <w:spacing w:after="0"/>
              <w:rPr>
                <w:sz w:val="20"/>
                <w:szCs w:val="20"/>
                <w:color w:val="auto"/>
              </w:rPr>
            </w:pPr>
            <w:r>
              <w:rPr>
                <w:rFonts w:ascii="Times New Roman" w:cs="Times New Roman" w:eastAsia="Times New Roman" w:hAnsi="Times New Roman"/>
                <w:sz w:val="19"/>
                <w:szCs w:val="19"/>
                <w:color w:val="231F20"/>
              </w:rPr>
              <w:t>HD program</w:t>
            </w:r>
          </w:p>
        </w:tc>
        <w:tc>
          <w:tcPr>
            <w:tcW w:w="100" w:type="dxa"/>
            <w:vAlign w:val="bottom"/>
            <w:tcBorders>
              <w:bottom w:val="single" w:sz="8" w:color="E2E3E4"/>
            </w:tcBorders>
          </w:tcPr>
          <w:p>
            <w:pPr>
              <w:spacing w:after="0"/>
              <w:rPr>
                <w:sz w:val="20"/>
                <w:szCs w:val="20"/>
                <w:color w:val="auto"/>
              </w:rPr>
            </w:pPr>
          </w:p>
        </w:tc>
        <w:tc>
          <w:tcPr>
            <w:tcW w:w="13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11,790</w:t>
            </w:r>
          </w:p>
        </w:tc>
        <w:tc>
          <w:tcPr>
            <w:tcW w:w="2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2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13,086</w:t>
            </w:r>
          </w:p>
        </w:tc>
        <w:tc>
          <w:tcPr>
            <w:tcW w:w="2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240" w:type="dxa"/>
            <w:vAlign w:val="bottom"/>
            <w:tcBorders>
              <w:bottom w:val="single" w:sz="8" w:color="E2E3E4"/>
            </w:tcBorders>
            <w:gridSpan w:val="3"/>
          </w:tcPr>
          <w:p>
            <w:pPr>
              <w:jc w:val="right"/>
              <w:ind w:right="40"/>
              <w:spacing w:after="0"/>
              <w:rPr>
                <w:sz w:val="20"/>
                <w:szCs w:val="20"/>
                <w:color w:val="auto"/>
              </w:rPr>
            </w:pPr>
            <w:r>
              <w:rPr>
                <w:rFonts w:ascii="Times New Roman" w:cs="Times New Roman" w:eastAsia="Times New Roman" w:hAnsi="Times New Roman"/>
                <w:sz w:val="19"/>
                <w:szCs w:val="19"/>
                <w:color w:val="231F20"/>
              </w:rPr>
              <w:t>(1,296 )</w:t>
            </w:r>
          </w:p>
        </w:tc>
        <w:tc>
          <w:tcPr>
            <w:tcW w:w="0" w:type="dxa"/>
            <w:vAlign w:val="bottom"/>
          </w:tcPr>
          <w:p>
            <w:pPr>
              <w:spacing w:after="0"/>
              <w:rPr>
                <w:sz w:val="1"/>
                <w:szCs w:val="1"/>
                <w:color w:val="auto"/>
              </w:rPr>
            </w:pPr>
          </w:p>
        </w:tc>
      </w:tr>
      <w:tr>
        <w:trPr>
          <w:trHeight w:val="217"/>
        </w:trPr>
        <w:tc>
          <w:tcPr>
            <w:tcW w:w="567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Other research and development expenses(1), including PNPLA3,</w:t>
            </w:r>
          </w:p>
        </w:tc>
        <w:tc>
          <w:tcPr>
            <w:tcW w:w="15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00" w:type="dxa"/>
            <w:vAlign w:val="bottom"/>
            <w:shd w:val="clear" w:color="auto" w:fill="E2E3E4"/>
          </w:tcPr>
          <w:p>
            <w:pPr>
              <w:spacing w:after="0"/>
              <w:rPr>
                <w:sz w:val="18"/>
                <w:szCs w:val="18"/>
                <w:color w:val="auto"/>
              </w:rPr>
            </w:pPr>
          </w:p>
        </w:tc>
        <w:tc>
          <w:tcPr>
            <w:tcW w:w="2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280" w:type="dxa"/>
            <w:vAlign w:val="bottom"/>
            <w:shd w:val="clear" w:color="auto" w:fill="E2E3E4"/>
          </w:tcPr>
          <w:p>
            <w:pPr>
              <w:spacing w:after="0"/>
              <w:rPr>
                <w:sz w:val="18"/>
                <w:szCs w:val="18"/>
                <w:color w:val="auto"/>
              </w:rPr>
            </w:pPr>
          </w:p>
        </w:tc>
        <w:tc>
          <w:tcPr>
            <w:tcW w:w="2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70" w:type="dxa"/>
            <w:vAlign w:val="bottom"/>
            <w:tcBorders>
              <w:bottom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additional preclinical programs, PRISM</w:t>
            </w:r>
          </w:p>
        </w:tc>
        <w:tc>
          <w:tcPr>
            <w:tcW w:w="15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3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111,396</w:t>
            </w:r>
          </w:p>
        </w:tc>
        <w:tc>
          <w:tcPr>
            <w:tcW w:w="24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28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100,433</w:t>
            </w:r>
          </w:p>
        </w:tc>
        <w:tc>
          <w:tcPr>
            <w:tcW w:w="24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14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10,963</w:t>
            </w:r>
          </w:p>
        </w:tc>
        <w:tc>
          <w:tcPr>
            <w:tcW w:w="20" w:type="dxa"/>
            <w:vAlign w:val="bottom"/>
            <w:tcBorders>
              <w:bottom w:val="single" w:sz="8" w:color="E2E3E4"/>
            </w:tcBorders>
            <w:shd w:val="clear" w:color="auto" w:fill="E2E3E4"/>
          </w:tcPr>
          <w:p>
            <w:pPr>
              <w:spacing w:after="0"/>
              <w:rPr>
                <w:sz w:val="20"/>
                <w:szCs w:val="20"/>
                <w:color w:val="auto"/>
              </w:rPr>
            </w:pPr>
          </w:p>
        </w:tc>
        <w:tc>
          <w:tcPr>
            <w:tcW w:w="80" w:type="dxa"/>
            <w:vAlign w:val="bottom"/>
            <w:tcBorders>
              <w:bottom w:val="single" w:sz="8" w:color="E2E3E4"/>
            </w:tcBorders>
            <w:shd w:val="clear" w:color="auto" w:fill="E2E3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line="207" w:lineRule="exact"/>
              <w:rPr>
                <w:sz w:val="20"/>
                <w:szCs w:val="20"/>
                <w:color w:val="auto"/>
              </w:rPr>
            </w:pPr>
            <w:r>
              <w:rPr>
                <w:rFonts w:ascii="Times New Roman" w:cs="Times New Roman" w:eastAsia="Times New Roman" w:hAnsi="Times New Roman"/>
                <w:sz w:val="19"/>
                <w:szCs w:val="19"/>
                <w:color w:val="231F20"/>
              </w:rPr>
              <w:t>Total research and development expenses</w:t>
            </w: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159,682</w:t>
            </w:r>
          </w:p>
        </w:tc>
        <w:tc>
          <w:tcPr>
            <w:tcW w:w="24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8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130,009</w:t>
            </w:r>
          </w:p>
        </w:tc>
        <w:tc>
          <w:tcPr>
            <w:tcW w:w="24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29,673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-600075</wp:posOffset>
                </wp:positionV>
                <wp:extent cx="665226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260" cy="4763"/>
                        </a:xfrm>
                        <a:prstGeom prst="line">
                          <a:avLst/>
                        </a:prstGeom>
                        <a:solidFill>
                          <a:srgbClr val="FFFFFF"/>
                        </a:solidFill>
                        <a:ln w="8865">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2499pt" to="523.8pt,-47.2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3701415</wp:posOffset>
                </wp:positionH>
                <wp:positionV relativeFrom="paragraph">
                  <wp:posOffset>-151765</wp:posOffset>
                </wp:positionV>
                <wp:extent cx="8915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45pt,-11.9499pt" to="361.65pt,-11.9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4752340</wp:posOffset>
                </wp:positionH>
                <wp:positionV relativeFrom="paragraph">
                  <wp:posOffset>-151765</wp:posOffset>
                </wp:positionV>
                <wp:extent cx="89154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2pt,-11.9499pt" to="444.4pt,-11.9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5801995</wp:posOffset>
                </wp:positionH>
                <wp:positionV relativeFrom="paragraph">
                  <wp:posOffset>-151765</wp:posOffset>
                </wp:positionV>
                <wp:extent cx="78486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85pt,-11.9499pt" to="518.65pt,-11.9499pt" o:allowincell="f" strokecolor="#FFFFFF" strokeweight="0.698pt"/>
            </w:pict>
          </mc:Fallback>
        </mc:AlternateContent>
      </w:r>
    </w:p>
    <w:p>
      <w:pPr>
        <w:spacing w:after="0" w:line="185" w:lineRule="exact"/>
        <w:rPr>
          <w:sz w:val="20"/>
          <w:szCs w:val="20"/>
          <w:color w:val="auto"/>
        </w:rPr>
      </w:pPr>
    </w:p>
    <w:p>
      <w:pPr>
        <w:ind w:left="480" w:right="200" w:hanging="480"/>
        <w:spacing w:after="0" w:line="267" w:lineRule="auto"/>
        <w:tabs>
          <w:tab w:leader="none" w:pos="480" w:val="left"/>
        </w:tabs>
        <w:numPr>
          <w:ilvl w:val="0"/>
          <w:numId w:val="4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231F20"/>
        </w:rPr>
        <w:t>Research and development expenses were $159.7 million for the year ended December 31, 2024, compared to $130.0 million for the year ended December 31, 2023. The increase of $29.7 million was due to the following:</w:t>
      </w:r>
    </w:p>
    <w:p>
      <w:pPr>
        <w:sectPr>
          <w:pgSz w:w="11880" w:h="15480" w:orient="portrait"/>
          <w:cols w:equalWidth="0" w:num="1">
            <w:col w:w="10480"/>
          </w:cols>
          <w:pgMar w:left="700" w:top="977" w:right="700" w:bottom="1440" w:gutter="0" w:footer="0" w:header="0"/>
        </w:sectPr>
      </w:pPr>
    </w:p>
    <w:bookmarkStart w:id="88" w:name="page89"/>
    <w:bookmarkEnd w:id="88"/>
    <w:p>
      <w:pPr>
        <w:ind w:left="940" w:hanging="465"/>
        <w:spacing w:after="0"/>
        <w:tabs>
          <w:tab w:leader="none" w:pos="94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an increase of $9.1 million in external expenses related to our INHBE program, including WVE-007 (RNAi);</w:t>
      </w:r>
    </w:p>
    <w:p>
      <w:pPr>
        <w:spacing w:after="0" w:line="132" w:lineRule="exact"/>
        <w:rPr>
          <w:rFonts w:ascii="Arial" w:cs="Arial" w:eastAsia="Arial" w:hAnsi="Arial"/>
          <w:sz w:val="19"/>
          <w:szCs w:val="19"/>
          <w:color w:val="231F20"/>
        </w:rPr>
      </w:pPr>
    </w:p>
    <w:p>
      <w:pPr>
        <w:ind w:left="940" w:hanging="466"/>
        <w:spacing w:after="0"/>
        <w:tabs>
          <w:tab w:leader="none" w:pos="94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an increase of $3.2 million in external expenses related to our AATD program, WVE-006 (RNA editing);</w:t>
      </w:r>
    </w:p>
    <w:p>
      <w:pPr>
        <w:spacing w:after="0" w:line="134" w:lineRule="exact"/>
        <w:rPr>
          <w:rFonts w:ascii="Arial" w:cs="Arial" w:eastAsia="Arial" w:hAnsi="Arial"/>
          <w:sz w:val="19"/>
          <w:szCs w:val="19"/>
          <w:color w:val="231F20"/>
        </w:rPr>
      </w:pPr>
    </w:p>
    <w:p>
      <w:pPr>
        <w:ind w:left="940" w:hanging="466"/>
        <w:spacing w:after="0"/>
        <w:tabs>
          <w:tab w:leader="none" w:pos="94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an increase of $7.7 million in external expenses related to our DMD program, including WVE-N531 (splicing);</w:t>
      </w:r>
    </w:p>
    <w:p>
      <w:pPr>
        <w:spacing w:after="0" w:line="134" w:lineRule="exact"/>
        <w:rPr>
          <w:rFonts w:ascii="Arial" w:cs="Arial" w:eastAsia="Arial" w:hAnsi="Arial"/>
          <w:sz w:val="19"/>
          <w:szCs w:val="19"/>
          <w:color w:val="231F20"/>
        </w:rPr>
      </w:pPr>
    </w:p>
    <w:p>
      <w:pPr>
        <w:ind w:left="940" w:hanging="466"/>
        <w:spacing w:after="0"/>
        <w:tabs>
          <w:tab w:leader="none" w:pos="94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a decrease of $1.3 million in external expenses related to our HD program, including WVE-003 (silencing); and</w:t>
      </w:r>
    </w:p>
    <w:p>
      <w:pPr>
        <w:spacing w:after="0" w:line="134" w:lineRule="exact"/>
        <w:rPr>
          <w:rFonts w:ascii="Arial" w:cs="Arial" w:eastAsia="Arial" w:hAnsi="Arial"/>
          <w:sz w:val="19"/>
          <w:szCs w:val="19"/>
          <w:color w:val="231F20"/>
        </w:rPr>
      </w:pPr>
    </w:p>
    <w:p>
      <w:pPr>
        <w:ind w:left="940" w:right="200" w:hanging="466"/>
        <w:spacing w:after="0" w:line="255" w:lineRule="auto"/>
        <w:tabs>
          <w:tab w:leader="none" w:pos="94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an increase of $11.0 million in other research and development expenses, including PNPLA3, additional preclinical programs, PRISM, and internal and external research and development expenses that are not allocated on a program-by-program basis or are related to other discovery and development programs, and the identification of potential drug discovery candidates. This is mainly due to increases in compensation-related expenses and facilities-related expenses, partially offset by decreases in other external research and development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General and Administrative Expenses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231F20"/>
        </w:rPr>
        <w:t>General and administrative expenses were $59.0 million for the year ended December 31, 2024, compared to $51.3 million for the year ended December 31, 2023. The increase of $7.7 million was primarily driven by increases in compensation related expenses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Other Income, Net</w:t>
      </w:r>
    </w:p>
    <w:p>
      <w:pPr>
        <w:spacing w:after="0" w:line="11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9"/>
          <w:szCs w:val="19"/>
          <w:color w:val="231F20"/>
        </w:rPr>
        <w:t>Other income, net for the years ended December 31, 2024 and 2023 was $13.4 million and $9.8 million, respectively. The increase of $3.6 million in other income, net was primarily driven by an increase in estimated refundable tax credits as well as an increase in interest income during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Income Tax Benefit</w:t>
      </w:r>
    </w:p>
    <w:p>
      <w:pPr>
        <w:spacing w:after="0" w:line="10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9"/>
          <w:szCs w:val="19"/>
          <w:color w:val="231F20"/>
        </w:rPr>
        <w:t>During the years ended December 31, 2024 and 2023, we recorded no income tax benefit or provision and an income tax benefit of $0.7 million, respectively. The income tax benefit for the year ended December 31, 2023 was due to a change in estimate in connection with U.S. tax guidance relating to the capitalization of research and development expenditures.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Liquidity and Capital Resources</w:t>
      </w:r>
    </w:p>
    <w:p>
      <w:pPr>
        <w:spacing w:after="0" w:line="1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231F20"/>
        </w:rPr>
        <w:t>Since our inception, we have not generated any product revenue and have incurred recurring net operating losses. To date, we have primarily funded our operations through public and other registered offerings of our ordinary shares and other securities, collaborations with third parties and private placements of debt and equity securities. Through December 31, 2025, we have received an aggregate of approximately $ 2,076.7 million in net proceeds from these transactions, consisting of $1,450.5 million in net proceeds from public and other registered offerings of our ordinary shares and other securities, $536.9 million from our collaborations and $89.3 million in net proceeds from private placements of our debt and equity securities.</w:t>
      </w:r>
    </w:p>
    <w:p>
      <w:pPr>
        <w:spacing w:after="0" w:line="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231F20"/>
        </w:rPr>
        <w:t>On December 11, 2025, we closed an underwritten public offering (the "December 2025 Offering") in which we issued and sold 18,552,632 of our ordinary shares, including 2,763,157 ordinary shares issued and sold pursuant to the underwriter's exercise in full of their option to purchase additional shares, and pre-funded warrants to purchase up to 2,631,578 of our ordinary shares (the "2025 Pre-Funded Warrants"). The gross proceeds to us from the December 2025 Offering were approximately $402.5 million before deducting underwriting discounts and commissions and other offering expenses, and including gross proceeds from the exercise of the Underwriters' option to purchase the additional shares in full.</w:t>
      </w:r>
    </w:p>
    <w:p>
      <w:pPr>
        <w:spacing w:after="0" w:line="64"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9"/>
          <w:szCs w:val="19"/>
          <w:color w:val="231F20"/>
        </w:rPr>
        <w:t>As of December 31, 2025, we had cash and cash equivalents of $602.1 million, restricted cash of $3.8 million and an accumulated deficit of $1,326.2 million.</w:t>
      </w:r>
    </w:p>
    <w:p>
      <w:pPr>
        <w:spacing w:after="0" w:line="4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9"/>
          <w:szCs w:val="19"/>
          <w:color w:val="231F20"/>
        </w:rPr>
        <w:t>We expect that our existing cash and cash equivalents will be sufficient to fund our operations for at least the next twelve months from the issuance date of these financial statements. We have based this expectation on assumptions that may prove to be incorrect, and we may use our available capital resources sooner than we currently expect. In addition, we may elect to raise additional funds before we need them if the conditions for raising capital are favorable due to market conditions or strategic considerations, even if we expect we have sufficient funds for our current or future operating plans.</w:t>
      </w:r>
    </w:p>
    <w:p>
      <w:pPr>
        <w:spacing w:after="0" w:line="7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9"/>
          <w:szCs w:val="19"/>
          <w:color w:val="231F20"/>
        </w:rPr>
        <w:t>Our operating lease commitments as of December 31, 2025 total $19.5 million, of which $9.6 million is related to payments in 2026 and approximately $9.9 million is related to payments beyond 2026.</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On November 12, 2024, we filed a shelf registration statement on Form S-3ASR with the SEC for which we registered for sale an indeterminate amount of any combination of our ordinary shares, debt securities, warrants, rights and/or units from time to time and at prices and on terms that we may determine, which we refer to as the “2024 WKSI Shelf”. Our 2024 WKSI Shelf includes a prospectus covering up to an aggregate of $250.0 million in ordinary shares that we are able to issue and sell from time to time, through Jefferies LLC (“Jefferies”) acting as our sales agent, pursuant to the Open Market Sale Agreement, dated May 10, 2019, as amended by Amendment No. 1, dated as of March 2, 2020, Amendment No. 2, dated as of March 3, 2022, and Amendment No. 3, dated November</w:t>
      </w:r>
    </w:p>
    <w:p>
      <w:pPr>
        <w:sectPr>
          <w:pgSz w:w="11880" w:h="15480" w:orient="portrait"/>
          <w:cols w:equalWidth="0" w:num="1">
            <w:col w:w="10480"/>
          </w:cols>
          <w:pgMar w:left="700" w:top="977" w:right="700" w:bottom="394"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9"/>
          <w:szCs w:val="19"/>
          <w:color w:val="231F20"/>
        </w:rPr>
        <w:t>12, 2024, (collectively, the “Sales Agreement”), for our “at-the-market” equity program. For the twelve months ended December 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2025, we received $94.6 million in net proceeds from sales under our “at-the-market" equity program.</w:t>
      </w:r>
    </w:p>
    <w:p>
      <w:pPr>
        <w:spacing w:after="0" w:line="93" w:lineRule="exact"/>
        <w:rPr>
          <w:sz w:val="20"/>
          <w:szCs w:val="20"/>
          <w:color w:val="auto"/>
        </w:rPr>
      </w:pPr>
    </w:p>
    <w:p>
      <w:pPr>
        <w:jc w:val="both"/>
        <w:ind w:right="480"/>
        <w:spacing w:after="0" w:line="267" w:lineRule="auto"/>
        <w:rPr>
          <w:sz w:val="20"/>
          <w:szCs w:val="20"/>
          <w:color w:val="auto"/>
        </w:rPr>
      </w:pPr>
      <w:r>
        <w:rPr>
          <w:rFonts w:ascii="Times New Roman" w:cs="Times New Roman" w:eastAsia="Times New Roman" w:hAnsi="Times New Roman"/>
          <w:sz w:val="19"/>
          <w:szCs w:val="19"/>
          <w:color w:val="231F20"/>
        </w:rPr>
        <w:t>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summarizes our sources and uses of cash for each of the periods presented:</w:t>
      </w:r>
    </w:p>
    <w:p>
      <w:pPr>
        <w:spacing w:after="0" w:line="242"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12"/>
          </w:tcPr>
          <w:p>
            <w:pPr>
              <w:jc w:val="center"/>
              <w:ind w:right="83"/>
              <w:spacing w:after="0"/>
              <w:rPr>
                <w:sz w:val="20"/>
                <w:szCs w:val="20"/>
                <w:color w:val="auto"/>
              </w:rPr>
            </w:pPr>
            <w:r>
              <w:rPr>
                <w:rFonts w:ascii="Times New Roman" w:cs="Times New Roman" w:eastAsia="Times New Roman" w:hAnsi="Times New Roman"/>
                <w:sz w:val="16"/>
                <w:szCs w:val="16"/>
                <w:b w:val="1"/>
                <w:bCs w:val="1"/>
                <w:color w:val="231F20"/>
                <w:w w:val="96"/>
              </w:rPr>
              <w:t>For the Year Ended December 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960" w:type="dxa"/>
            <w:vAlign w:val="bottom"/>
            <w:tcBorders>
              <w:top w:val="single" w:sz="8" w:color="231F20"/>
            </w:tcBorders>
            <w:vMerge w:val="restart"/>
          </w:tcPr>
          <w:p>
            <w:pPr>
              <w:jc w:val="right"/>
              <w:ind w:right="289"/>
              <w:spacing w:after="0" w:line="183" w:lineRule="exact"/>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top w:val="single" w:sz="8" w:color="231F20"/>
            </w:tcBorders>
            <w:vMerge w:val="restart"/>
          </w:tcPr>
          <w:p>
            <w:pPr>
              <w:spacing w:after="0" w:line="20" w:lineRule="exact"/>
              <w:rPr>
                <w:sz w:val="1"/>
                <w:szCs w:val="1"/>
                <w:color w:val="auto"/>
              </w:rPr>
            </w:pPr>
          </w:p>
        </w:tc>
        <w:tc>
          <w:tcPr>
            <w:tcW w:w="100" w:type="dxa"/>
            <w:vAlign w:val="bottom"/>
            <w:tcBorders>
              <w:top w:val="single" w:sz="8" w:color="231F20"/>
            </w:tcBorders>
            <w:vMerge w:val="restart"/>
          </w:tcPr>
          <w:p>
            <w:pPr>
              <w:spacing w:after="0" w:line="20" w:lineRule="exact"/>
              <w:rPr>
                <w:sz w:val="1"/>
                <w:szCs w:val="1"/>
                <w:color w:val="auto"/>
              </w:rPr>
            </w:pPr>
          </w:p>
        </w:tc>
        <w:tc>
          <w:tcPr>
            <w:tcW w:w="20" w:type="dxa"/>
            <w:vAlign w:val="bottom"/>
            <w:tcBorders>
              <w:top w:val="single" w:sz="8" w:color="231F20"/>
            </w:tcBorders>
            <w:vMerge w:val="restart"/>
          </w:tcPr>
          <w:p>
            <w:pPr>
              <w:spacing w:after="0" w:line="20" w:lineRule="exact"/>
              <w:rPr>
                <w:sz w:val="1"/>
                <w:szCs w:val="1"/>
                <w:color w:val="auto"/>
              </w:rPr>
            </w:pPr>
          </w:p>
        </w:tc>
        <w:tc>
          <w:tcPr>
            <w:tcW w:w="100" w:type="dxa"/>
            <w:vAlign w:val="bottom"/>
            <w:tcBorders>
              <w:top w:val="single" w:sz="8" w:color="231F20"/>
            </w:tcBorders>
          </w:tcPr>
          <w:p>
            <w:pPr>
              <w:spacing w:after="0" w:line="20" w:lineRule="exact"/>
              <w:rPr>
                <w:sz w:val="1"/>
                <w:szCs w:val="1"/>
                <w:color w:val="auto"/>
              </w:rPr>
            </w:pPr>
          </w:p>
        </w:tc>
        <w:tc>
          <w:tcPr>
            <w:tcW w:w="940" w:type="dxa"/>
            <w:vAlign w:val="bottom"/>
            <w:tcBorders>
              <w:top w:val="single" w:sz="8" w:color="231F20"/>
            </w:tcBorders>
            <w:vMerge w:val="restart"/>
          </w:tcPr>
          <w:p>
            <w:pPr>
              <w:jc w:val="center"/>
              <w:ind w:right="26"/>
              <w:spacing w:after="0" w:line="183" w:lineRule="exact"/>
              <w:rPr>
                <w:sz w:val="20"/>
                <w:szCs w:val="20"/>
                <w:color w:val="auto"/>
              </w:rPr>
            </w:pPr>
            <w:r>
              <w:rPr>
                <w:rFonts w:ascii="Times New Roman" w:cs="Times New Roman" w:eastAsia="Times New Roman" w:hAnsi="Times New Roman"/>
                <w:sz w:val="16"/>
                <w:szCs w:val="16"/>
                <w:b w:val="1"/>
                <w:bCs w:val="1"/>
                <w:color w:val="231F20"/>
                <w:w w:val="93"/>
              </w:rPr>
              <w:t>2024</w:t>
            </w:r>
          </w:p>
        </w:tc>
        <w:tc>
          <w:tcPr>
            <w:tcW w:w="70" w:type="dxa"/>
            <w:vAlign w:val="bottom"/>
            <w:tcBorders>
              <w:top w:val="single" w:sz="8" w:color="231F20"/>
            </w:tcBorders>
            <w:vMerge w:val="restart"/>
          </w:tcPr>
          <w:p>
            <w:pPr>
              <w:spacing w:after="0" w:line="20" w:lineRule="exact"/>
              <w:rPr>
                <w:sz w:val="1"/>
                <w:szCs w:val="1"/>
                <w:color w:val="auto"/>
              </w:rPr>
            </w:pPr>
          </w:p>
        </w:tc>
        <w:tc>
          <w:tcPr>
            <w:tcW w:w="110" w:type="dxa"/>
            <w:vAlign w:val="bottom"/>
            <w:tcBorders>
              <w:top w:val="single" w:sz="8" w:color="231F20"/>
            </w:tcBorders>
            <w:vMerge w:val="restart"/>
          </w:tcPr>
          <w:p>
            <w:pPr>
              <w:spacing w:after="0" w:line="20" w:lineRule="exact"/>
              <w:rPr>
                <w:sz w:val="1"/>
                <w:szCs w:val="1"/>
                <w:color w:val="auto"/>
              </w:rPr>
            </w:pPr>
          </w:p>
        </w:tc>
        <w:tc>
          <w:tcPr>
            <w:tcW w:w="20" w:type="dxa"/>
            <w:vAlign w:val="bottom"/>
            <w:tcBorders>
              <w:top w:val="single" w:sz="8" w:color="231F20"/>
            </w:tcBorders>
            <w:vMerge w:val="restart"/>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940" w:type="dxa"/>
            <w:vAlign w:val="bottom"/>
            <w:tcBorders>
              <w:top w:val="single" w:sz="8" w:color="231F20"/>
            </w:tcBorders>
            <w:vMerge w:val="restart"/>
          </w:tcPr>
          <w:p>
            <w:pPr>
              <w:jc w:val="right"/>
              <w:ind w:right="266"/>
              <w:spacing w:after="0" w:line="183" w:lineRule="exact"/>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960" w:type="dxa"/>
            <w:vAlign w:val="bottom"/>
            <w:tcBorders>
              <w:bottom w:val="single" w:sz="8" w:color="231F20"/>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tcBorders>
            <w:vMerge w:val="continue"/>
          </w:tcPr>
          <w:p>
            <w:pPr>
              <w:spacing w:after="0"/>
              <w:rPr>
                <w:sz w:val="14"/>
                <w:szCs w:val="14"/>
                <w:color w:val="auto"/>
              </w:rPr>
            </w:pPr>
          </w:p>
        </w:tc>
        <w:tc>
          <w:tcPr>
            <w:tcW w:w="70" w:type="dxa"/>
            <w:vAlign w:val="bottom"/>
            <w:vMerge w:val="continue"/>
          </w:tcPr>
          <w:p>
            <w:pPr>
              <w:spacing w:after="0"/>
              <w:rPr>
                <w:sz w:val="14"/>
                <w:szCs w:val="14"/>
                <w:color w:val="auto"/>
              </w:rPr>
            </w:pPr>
          </w:p>
        </w:tc>
        <w:tc>
          <w:tcPr>
            <w:tcW w:w="11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960" w:type="dxa"/>
            <w:vAlign w:val="bottom"/>
            <w:tcBorders>
              <w:bottom w:val="single" w:sz="8" w:color="E2E3E4"/>
            </w:tcBorders>
          </w:tcPr>
          <w:p>
            <w:pPr>
              <w:spacing w:after="0"/>
              <w:rPr>
                <w:sz w:val="14"/>
                <w:szCs w:val="14"/>
                <w:color w:val="auto"/>
              </w:rPr>
            </w:pPr>
          </w:p>
        </w:tc>
        <w:tc>
          <w:tcPr>
            <w:tcW w:w="6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40" w:type="dxa"/>
            <w:vAlign w:val="bottom"/>
            <w:tcBorders>
              <w:bottom w:val="single" w:sz="8" w:color="E2E3E4"/>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6"/>
              </w:rPr>
              <w:t>(in thousands)</w:t>
            </w:r>
          </w:p>
        </w:tc>
        <w:tc>
          <w:tcPr>
            <w:tcW w:w="70" w:type="dxa"/>
            <w:vAlign w:val="bottom"/>
            <w:tcBorders>
              <w:bottom w:val="single" w:sz="8" w:color="E2E3E4"/>
            </w:tcBorders>
          </w:tcPr>
          <w:p>
            <w:pPr>
              <w:spacing w:after="0"/>
              <w:rPr>
                <w:sz w:val="14"/>
                <w:szCs w:val="14"/>
                <w:color w:val="auto"/>
              </w:rPr>
            </w:pPr>
          </w:p>
        </w:tc>
        <w:tc>
          <w:tcPr>
            <w:tcW w:w="11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94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Net cash used in operating activities</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6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(187,493</w:t>
            </w: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(151,026</w:t>
            </w:r>
          </w:p>
        </w:tc>
        <w:tc>
          <w:tcPr>
            <w:tcW w:w="7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1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(19,431</w:t>
            </w:r>
          </w:p>
        </w:tc>
        <w:tc>
          <w:tcPr>
            <w:tcW w:w="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0" w:type="dxa"/>
            <w:vAlign w:val="bottom"/>
          </w:tcPr>
          <w:p>
            <w:pPr>
              <w:spacing w:after="0"/>
              <w:rPr>
                <w:sz w:val="1"/>
                <w:szCs w:val="1"/>
                <w:color w:val="auto"/>
              </w:rPr>
            </w:pPr>
          </w:p>
        </w:tc>
      </w:tr>
      <w:tr>
        <w:trPr>
          <w:trHeight w:val="235"/>
        </w:trPr>
        <w:tc>
          <w:tcPr>
            <w:tcW w:w="470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Net cash used in investing activities</w:t>
            </w: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02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(718 )</w:t>
            </w: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01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(938 )</w:t>
            </w:r>
          </w:p>
        </w:tc>
        <w:tc>
          <w:tcPr>
            <w:tcW w:w="11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02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(1,115 )</w:t>
            </w:r>
          </w:p>
        </w:tc>
        <w:tc>
          <w:tcPr>
            <w:tcW w:w="0" w:type="dxa"/>
            <w:vAlign w:val="bottom"/>
          </w:tcPr>
          <w:p>
            <w:pPr>
              <w:spacing w:after="0"/>
              <w:rPr>
                <w:sz w:val="1"/>
                <w:szCs w:val="1"/>
                <w:color w:val="auto"/>
              </w:rPr>
            </w:pPr>
          </w:p>
        </w:tc>
      </w:tr>
      <w:tr>
        <w:trPr>
          <w:trHeight w:val="217"/>
        </w:trPr>
        <w:tc>
          <w:tcPr>
            <w:tcW w:w="470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Net cash provided by financing activities</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6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488,235</w:t>
            </w:r>
          </w:p>
        </w:tc>
        <w:tc>
          <w:tcPr>
            <w:tcW w:w="6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253,890</w:t>
            </w:r>
          </w:p>
        </w:tc>
        <w:tc>
          <w:tcPr>
            <w:tcW w:w="70" w:type="dxa"/>
            <w:vAlign w:val="bottom"/>
            <w:shd w:val="clear" w:color="auto" w:fill="E2E3E4"/>
          </w:tcPr>
          <w:p>
            <w:pPr>
              <w:spacing w:after="0"/>
              <w:rPr>
                <w:sz w:val="18"/>
                <w:szCs w:val="18"/>
                <w:color w:val="auto"/>
              </w:rPr>
            </w:pPr>
          </w:p>
        </w:tc>
        <w:tc>
          <w:tcPr>
            <w:tcW w:w="11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132,534</w:t>
            </w:r>
          </w:p>
        </w:tc>
        <w:tc>
          <w:tcPr>
            <w:tcW w:w="8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231F20"/>
              </w:rPr>
              <w:t>Effect of foreign exchange rates on cash</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1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(138 )</w:t>
            </w:r>
          </w:p>
        </w:tc>
        <w:tc>
          <w:tcPr>
            <w:tcW w:w="1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(95 )</w:t>
            </w:r>
          </w:p>
        </w:tc>
        <w:tc>
          <w:tcPr>
            <w:tcW w:w="0" w:type="dxa"/>
            <w:vAlign w:val="bottom"/>
          </w:tcPr>
          <w:p>
            <w:pPr>
              <w:spacing w:after="0"/>
              <w:rPr>
                <w:sz w:val="1"/>
                <w:szCs w:val="1"/>
                <w:color w:val="auto"/>
              </w:rPr>
            </w:pPr>
          </w:p>
        </w:tc>
      </w:tr>
      <w:tr>
        <w:trPr>
          <w:trHeight w:val="207"/>
        </w:trPr>
        <w:tc>
          <w:tcPr>
            <w:tcW w:w="4700" w:type="dxa"/>
            <w:vAlign w:val="bottom"/>
            <w:tcBorders>
              <w:top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Net increase in cash, cash equivalents and restricted cash</w:t>
            </w: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8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6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300,036</w:t>
            </w:r>
          </w:p>
        </w:tc>
        <w:tc>
          <w:tcPr>
            <w:tcW w:w="60" w:type="dxa"/>
            <w:vAlign w:val="bottom"/>
            <w:tcBorders>
              <w:top w:val="single" w:sz="8" w:color="E2E3E4"/>
            </w:tcBorders>
            <w:shd w:val="clear" w:color="auto" w:fill="E2E3E4"/>
          </w:tcPr>
          <w:p>
            <w:pPr>
              <w:spacing w:after="0"/>
              <w:rPr>
                <w:sz w:val="17"/>
                <w:szCs w:val="17"/>
                <w:color w:val="auto"/>
              </w:rPr>
            </w:pP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10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4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101,788</w:t>
            </w:r>
          </w:p>
        </w:tc>
        <w:tc>
          <w:tcPr>
            <w:tcW w:w="70" w:type="dxa"/>
            <w:vAlign w:val="bottom"/>
            <w:tcBorders>
              <w:top w:val="single" w:sz="8" w:color="E2E3E4"/>
            </w:tcBorders>
            <w:shd w:val="clear" w:color="auto" w:fill="E2E3E4"/>
          </w:tcPr>
          <w:p>
            <w:pPr>
              <w:spacing w:after="0"/>
              <w:rPr>
                <w:sz w:val="17"/>
                <w:szCs w:val="17"/>
                <w:color w:val="auto"/>
              </w:rPr>
            </w:pPr>
          </w:p>
        </w:tc>
        <w:tc>
          <w:tcPr>
            <w:tcW w:w="11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8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4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111,893</w:t>
            </w:r>
          </w:p>
        </w:tc>
        <w:tc>
          <w:tcPr>
            <w:tcW w:w="80" w:type="dxa"/>
            <w:vAlign w:val="bottom"/>
            <w:tcBorders>
              <w:top w:val="single" w:sz="8" w:color="E2E3E4"/>
            </w:tcBorders>
            <w:shd w:val="clear" w:color="auto" w:fill="E2E3E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Operating Activities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During 2025, operating activities used $187.5 million of cash, primarily due to our net loss of $204.4 million and changes in our operating assets and liabilities of $16.9 million, partially offset by non-cash charges of $33.8 million The non-cash charges for 2025 related to share-based compensation expense of $25.0 million, amortization of right-of-use assets of $5.4 million, and depreciation expense of $3.4 million. The largest change in operating assets and liabilities was a $19.8 million decrease in deferred revenue, mainly driven by revenue recognized under the GSK Collaboration Agreement.</w:t>
      </w:r>
    </w:p>
    <w:p>
      <w:pPr>
        <w:spacing w:after="0" w:line="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During 2024, operating activities used $151.0 million of cash, primarily due to our net loss of $97.0 million, partially offset by non-cash charges of $21.8 million and changes in our operating assets and liabilities of $75.8 million. The non-cash charges for 2024 related to share-based compensation expense of $13.1 million, amortization of right-of-use assets of $4.8 million, and depreciation expense of $3.9 million. The largest change in operating assets and liabilities was a $93.6 million decrease in deferred revenue, mainly driven by our Takeda Collaboration Agreement, which was partially offset by the second largest change in operating assets and liabilities, the $19.7 million decrease in accounts receivable primarily due to the collection of receivables related to the GSK Collaboration Agreement.</w:t>
      </w:r>
    </w:p>
    <w:p>
      <w:pPr>
        <w:spacing w:after="0" w:line="3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231F20"/>
        </w:rPr>
        <w:t>During 2023, operating activities used $19.4 million of cash, primarily due to our net loss of $57.5 million, partially offset by non-cash charges of $19.0 million and changes in our operating assets and liabilities of $19.1 million. The non-cash charges for 2023 related to share-based compensation expense of $9.8 million, amortization of right- of-use assets of $4.2 million, and depreciation expense of $5.0 million. The largest change in operating assets and liabilities was a $54.3 million increase in deferred revenue, mainly driven by our GSK Collaboration Agreement, which became effective in January 2023, which was partially offset by the second largest change in operating assets and liabilities, the $21.1 million increase in accounts receivable primarily related to the achievement of a milestone under the GSK Collaboration Agreement.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Investing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2025, investing activities used $0.7 million of cash, primarily consisting of purchases of property and equipment.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2024, investing activities used $0.9 million of cash, primarily consisting of purchases of property and equipment.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2023, investing activities used $1.1 million of cash, primarily consisting of purchases of property and equipment.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Financing Activities</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During 2025, net cash provided by financing activities was $488.2 million, primarily due to the $377.8 million in net proceeds from the December 2025 Offering of ordinary shares and the 2025 Pre-Funded Warrants, $94.6 million in net proceeds from sales under our “at-the-market” equity program, as well as $14.9 million in proceeds from the exercise of stock options.</w:t>
      </w:r>
    </w:p>
    <w:p>
      <w:pPr>
        <w:spacing w:after="0" w:line="17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231F20"/>
        </w:rPr>
        <w:t>During 2024, net cash provided by financing activities was $ 253.9 million, primarily due to the $215.8 million in net proceeds from the September 2024 underwritten public offering of ordinary shares and the 2024 Pre-Funded Warrants (as defined below) (the "September 2024 Offering"); as well as the $14.0 million in net proceeds from the January 2024 exercise of the underwriters’ option</w:t>
      </w:r>
    </w:p>
    <w:p>
      <w:pPr>
        <w:sectPr>
          <w:pgSz w:w="11880" w:h="15480" w:orient="portrait"/>
          <w:cols w:equalWidth="0" w:num="1">
            <w:col w:w="10460"/>
          </w:cols>
          <w:pgMar w:left="700" w:top="963" w:right="720" w:bottom="549" w:gutter="0" w:footer="0" w:header="0"/>
        </w:sectPr>
      </w:pPr>
    </w:p>
    <w:bookmarkStart w:id="90" w:name="page91"/>
    <w:bookmarkEnd w:id="90"/>
    <w:p>
      <w:pPr>
        <w:ind w:right="680"/>
        <w:spacing w:after="0" w:line="286" w:lineRule="auto"/>
        <w:rPr>
          <w:sz w:val="20"/>
          <w:szCs w:val="20"/>
          <w:color w:val="auto"/>
        </w:rPr>
      </w:pPr>
      <w:r>
        <w:rPr>
          <w:rFonts w:ascii="Times New Roman" w:cs="Times New Roman" w:eastAsia="Times New Roman" w:hAnsi="Times New Roman"/>
          <w:sz w:val="19"/>
          <w:szCs w:val="19"/>
          <w:color w:val="231F20"/>
        </w:rPr>
        <w:t>to purchase an additional 3,000,000 shares under the December 2023 Offering. Additionally, we received $20.4 million in net proceeds from sales under our “at-the-market” equity program.</w:t>
      </w:r>
    </w:p>
    <w:p>
      <w:pPr>
        <w:spacing w:after="0" w:line="15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231F20"/>
        </w:rPr>
        <w:t>During 2023, net cash provided by financing activities was $132.5 million, primarily due to the $93.6 million in net proceeds from the December 2023 Offering, which comprised of sales of ordinary shares, as well as $34.6 million in net proceeds from the GSK Equity Investment. Additionally, there were $3.1 million in net proceeds from our "at-the-market" equity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Funding Requirements</w:t>
      </w:r>
    </w:p>
    <w:p>
      <w:pPr>
        <w:spacing w:after="0" w:line="11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9"/>
          <w:szCs w:val="19"/>
          <w:color w:val="231F20"/>
        </w:rPr>
        <w:t>We expect to continue to incur significant expenses in connection with our ongoing research and development activities and our internal cGMP manufacturing activities. Furthermore, we anticipate that our expenses will continue to vary if and as we:</w:t>
      </w:r>
    </w:p>
    <w:p>
      <w:pPr>
        <w:spacing w:after="0" w:line="54" w:lineRule="exact"/>
        <w:rPr>
          <w:sz w:val="20"/>
          <w:szCs w:val="20"/>
          <w:color w:val="auto"/>
        </w:rPr>
      </w:pPr>
    </w:p>
    <w:p>
      <w:pPr>
        <w:ind w:left="940" w:hanging="466"/>
        <w:spacing w:after="0"/>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continue to conduct our clinical trials evaluating our product candidates in patients;</w:t>
      </w:r>
    </w:p>
    <w:p>
      <w:pPr>
        <w:spacing w:after="0" w:line="134" w:lineRule="exact"/>
        <w:rPr>
          <w:rFonts w:ascii="Arial" w:cs="Arial" w:eastAsia="Arial" w:hAnsi="Arial"/>
          <w:sz w:val="19"/>
          <w:szCs w:val="19"/>
          <w:color w:val="231F20"/>
        </w:rPr>
      </w:pPr>
    </w:p>
    <w:p>
      <w:pPr>
        <w:ind w:left="940" w:right="760" w:hanging="466"/>
        <w:spacing w:after="0" w:line="288" w:lineRule="auto"/>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conduct research and preclinical development of discovery targets and advance additional programs into clinical development;</w:t>
      </w:r>
    </w:p>
    <w:p>
      <w:pPr>
        <w:spacing w:after="0" w:line="51" w:lineRule="exact"/>
        <w:rPr>
          <w:rFonts w:ascii="Arial" w:cs="Arial" w:eastAsia="Arial" w:hAnsi="Arial"/>
          <w:sz w:val="19"/>
          <w:szCs w:val="19"/>
          <w:color w:val="231F20"/>
        </w:rPr>
      </w:pPr>
    </w:p>
    <w:p>
      <w:pPr>
        <w:ind w:left="940" w:hanging="466"/>
        <w:spacing w:after="0"/>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file clinical trial applications with global regulatory agencies and conduct clinical trials for our programs;</w:t>
      </w:r>
    </w:p>
    <w:p>
      <w:pPr>
        <w:spacing w:after="0" w:line="132" w:lineRule="exact"/>
        <w:rPr>
          <w:rFonts w:ascii="Arial" w:cs="Arial" w:eastAsia="Arial" w:hAnsi="Arial"/>
          <w:sz w:val="19"/>
          <w:szCs w:val="19"/>
          <w:color w:val="231F20"/>
        </w:rPr>
      </w:pPr>
    </w:p>
    <w:p>
      <w:pPr>
        <w:ind w:left="940" w:right="160" w:hanging="466"/>
        <w:spacing w:after="0" w:line="288" w:lineRule="auto"/>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make strategic investments in continuing to innovate our research and development platform, PRISM, and in optimizing our manufacturing processes and formulations;</w:t>
      </w:r>
    </w:p>
    <w:p>
      <w:pPr>
        <w:spacing w:after="0" w:line="51" w:lineRule="exact"/>
        <w:rPr>
          <w:rFonts w:ascii="Arial" w:cs="Arial" w:eastAsia="Arial" w:hAnsi="Arial"/>
          <w:sz w:val="19"/>
          <w:szCs w:val="19"/>
          <w:color w:val="231F20"/>
        </w:rPr>
      </w:pPr>
    </w:p>
    <w:p>
      <w:pPr>
        <w:ind w:left="940" w:hanging="465"/>
        <w:spacing w:after="0"/>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maintain our manufacturing capabilities through our internal facility and our CMOs;</w:t>
      </w:r>
    </w:p>
    <w:p>
      <w:pPr>
        <w:spacing w:after="0" w:line="134" w:lineRule="exact"/>
        <w:rPr>
          <w:rFonts w:ascii="Arial" w:cs="Arial" w:eastAsia="Arial" w:hAnsi="Arial"/>
          <w:sz w:val="19"/>
          <w:szCs w:val="19"/>
          <w:color w:val="231F20"/>
        </w:rPr>
      </w:pPr>
    </w:p>
    <w:p>
      <w:pPr>
        <w:ind w:left="940" w:hanging="465"/>
        <w:spacing w:after="0"/>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maintain our intellectual property portfolio and consider the acquisition of complementary intellectual property;</w:t>
      </w:r>
    </w:p>
    <w:p>
      <w:pPr>
        <w:spacing w:after="0" w:line="134" w:lineRule="exact"/>
        <w:rPr>
          <w:rFonts w:ascii="Arial" w:cs="Arial" w:eastAsia="Arial" w:hAnsi="Arial"/>
          <w:sz w:val="19"/>
          <w:szCs w:val="19"/>
          <w:color w:val="231F20"/>
        </w:rPr>
      </w:pPr>
    </w:p>
    <w:p>
      <w:pPr>
        <w:ind w:left="940" w:hanging="465"/>
        <w:spacing w:after="0"/>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seek and obtain regulatory approvals for our product candidates;</w:t>
      </w:r>
    </w:p>
    <w:p>
      <w:pPr>
        <w:spacing w:after="0" w:line="134" w:lineRule="exact"/>
        <w:rPr>
          <w:rFonts w:ascii="Arial" w:cs="Arial" w:eastAsia="Arial" w:hAnsi="Arial"/>
          <w:sz w:val="19"/>
          <w:szCs w:val="19"/>
          <w:color w:val="231F20"/>
        </w:rPr>
      </w:pPr>
    </w:p>
    <w:p>
      <w:pPr>
        <w:ind w:left="940" w:right="240" w:hanging="465"/>
        <w:spacing w:after="0" w:line="285" w:lineRule="auto"/>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respond to the impacts of local and global health epidemics, geopolitical conflicts, global economic uncertainty, tariffs, rising inflation, rising interest rates or market disruptions on our business; and</w:t>
      </w:r>
    </w:p>
    <w:p>
      <w:pPr>
        <w:spacing w:after="0" w:line="55" w:lineRule="exact"/>
        <w:rPr>
          <w:rFonts w:ascii="Arial" w:cs="Arial" w:eastAsia="Arial" w:hAnsi="Arial"/>
          <w:sz w:val="19"/>
          <w:szCs w:val="19"/>
          <w:color w:val="231F20"/>
        </w:rPr>
      </w:pPr>
    </w:p>
    <w:p>
      <w:pPr>
        <w:ind w:left="940" w:hanging="465"/>
        <w:spacing w:after="0"/>
        <w:tabs>
          <w:tab w:leader="none" w:pos="94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establish and build capabilities to market, distribute and sell our product candidates.</w:t>
      </w:r>
    </w:p>
    <w:p>
      <w:pPr>
        <w:spacing w:after="0" w:line="121"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9"/>
          <w:szCs w:val="19"/>
          <w:color w:val="231F20"/>
        </w:rPr>
        <w:t>We may experience delays or encounter issues with any of the above, including but not limited to failed studies, complex results, safety issues or other regulatory challenges.</w:t>
      </w:r>
    </w:p>
    <w:p>
      <w:pPr>
        <w:spacing w:after="0" w:line="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Because of the numerous risks and uncertainties associated with the development of drug candidates and because the extent to which we may enter into collaborations with third parties for development of product candidates is unknown, we are unable to estimate the amounts of future capital outlays and operating expenses associated with completing the research and development for our therapeutic programs. Our future capital requirements for our therapeutic programs will depend on many factors, including:</w:t>
      </w:r>
    </w:p>
    <w:p>
      <w:pPr>
        <w:spacing w:after="0" w:line="79" w:lineRule="exact"/>
        <w:rPr>
          <w:sz w:val="20"/>
          <w:szCs w:val="20"/>
          <w:color w:val="auto"/>
        </w:rPr>
      </w:pPr>
    </w:p>
    <w:p>
      <w:pPr>
        <w:ind w:left="940" w:right="760" w:hanging="465"/>
        <w:spacing w:after="0" w:line="288" w:lineRule="auto"/>
        <w:tabs>
          <w:tab w:leader="none" w:pos="94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progress, results and costs of conducting research and continued preclinical and clinical development for our therapeutic programs and future potential pipeline candidates;</w:t>
      </w:r>
    </w:p>
    <w:p>
      <w:pPr>
        <w:spacing w:after="0" w:line="51" w:lineRule="exact"/>
        <w:rPr>
          <w:rFonts w:ascii="Arial" w:cs="Arial" w:eastAsia="Arial" w:hAnsi="Arial"/>
          <w:sz w:val="19"/>
          <w:szCs w:val="19"/>
          <w:color w:val="231F20"/>
        </w:rPr>
      </w:pPr>
    </w:p>
    <w:p>
      <w:pPr>
        <w:ind w:left="960" w:hanging="485"/>
        <w:spacing w:after="0"/>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number and characteristics of product candidates and programs that we pursue;</w:t>
      </w:r>
    </w:p>
    <w:p>
      <w:pPr>
        <w:spacing w:after="0" w:line="132" w:lineRule="exact"/>
        <w:rPr>
          <w:rFonts w:ascii="Arial" w:cs="Arial" w:eastAsia="Arial" w:hAnsi="Arial"/>
          <w:sz w:val="19"/>
          <w:szCs w:val="19"/>
          <w:color w:val="231F20"/>
        </w:rPr>
      </w:pPr>
    </w:p>
    <w:p>
      <w:pPr>
        <w:ind w:left="960" w:hanging="485"/>
        <w:spacing w:after="0"/>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 of manufacturing clinical supplies of our product candidates;</w:t>
      </w:r>
    </w:p>
    <w:p>
      <w:pPr>
        <w:spacing w:after="0" w:line="134" w:lineRule="exact"/>
        <w:rPr>
          <w:rFonts w:ascii="Arial" w:cs="Arial" w:eastAsia="Arial" w:hAnsi="Arial"/>
          <w:sz w:val="19"/>
          <w:szCs w:val="19"/>
          <w:color w:val="231F20"/>
        </w:rPr>
      </w:pPr>
    </w:p>
    <w:p>
      <w:pPr>
        <w:ind w:left="960" w:right="540" w:hanging="485"/>
        <w:spacing w:after="0" w:line="288" w:lineRule="auto"/>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whether and to what extent milestone events are achieved under our collaboration with GSK or any potential future licensee or collaborator;</w:t>
      </w:r>
    </w:p>
    <w:p>
      <w:pPr>
        <w:spacing w:after="0" w:line="51" w:lineRule="exact"/>
        <w:rPr>
          <w:rFonts w:ascii="Arial" w:cs="Arial" w:eastAsia="Arial" w:hAnsi="Arial"/>
          <w:sz w:val="19"/>
          <w:szCs w:val="19"/>
          <w:color w:val="231F20"/>
        </w:rPr>
      </w:pPr>
    </w:p>
    <w:p>
      <w:pPr>
        <w:ind w:left="960" w:hanging="485"/>
        <w:spacing w:after="0"/>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timing and outcome of regulatory review of our product candidates;</w:t>
      </w:r>
    </w:p>
    <w:p>
      <w:pPr>
        <w:spacing w:after="0" w:line="134" w:lineRule="exact"/>
        <w:rPr>
          <w:rFonts w:ascii="Arial" w:cs="Arial" w:eastAsia="Arial" w:hAnsi="Arial"/>
          <w:sz w:val="19"/>
          <w:szCs w:val="19"/>
          <w:color w:val="231F20"/>
        </w:rPr>
      </w:pPr>
    </w:p>
    <w:p>
      <w:pPr>
        <w:ind w:left="960" w:hanging="485"/>
        <w:spacing w:after="0"/>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our ability to obtain marketing approval for our product candidates;</w:t>
      </w:r>
    </w:p>
    <w:p>
      <w:pPr>
        <w:spacing w:after="0" w:line="132" w:lineRule="exact"/>
        <w:rPr>
          <w:rFonts w:ascii="Arial" w:cs="Arial" w:eastAsia="Arial" w:hAnsi="Arial"/>
          <w:sz w:val="19"/>
          <w:szCs w:val="19"/>
          <w:color w:val="231F20"/>
        </w:rPr>
      </w:pPr>
    </w:p>
    <w:p>
      <w:pPr>
        <w:ind w:left="960" w:right="620" w:hanging="485"/>
        <w:spacing w:after="0" w:line="288" w:lineRule="auto"/>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impacts of local and global health epidemics, geopolitical conflicts, global economic uncertainty, tariffs, rising inflation, rising interest rates or market disruptions on our business;</w:t>
      </w:r>
    </w:p>
    <w:p>
      <w:pPr>
        <w:spacing w:after="0" w:line="51" w:lineRule="exact"/>
        <w:rPr>
          <w:rFonts w:ascii="Arial" w:cs="Arial" w:eastAsia="Arial" w:hAnsi="Arial"/>
          <w:sz w:val="19"/>
          <w:szCs w:val="19"/>
          <w:color w:val="231F20"/>
        </w:rPr>
      </w:pPr>
    </w:p>
    <w:p>
      <w:pPr>
        <w:ind w:left="960" w:hanging="485"/>
        <w:spacing w:after="0" w:line="288" w:lineRule="auto"/>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and timing of future commercialization activities, including manufacturing, marketing, sales and distribution, for any of our product candidates for which we receive marketing approval;</w:t>
      </w:r>
    </w:p>
    <w:p>
      <w:pPr>
        <w:spacing w:after="0" w:line="51" w:lineRule="exact"/>
        <w:rPr>
          <w:rFonts w:ascii="Arial" w:cs="Arial" w:eastAsia="Arial" w:hAnsi="Arial"/>
          <w:sz w:val="19"/>
          <w:szCs w:val="19"/>
          <w:color w:val="231F20"/>
        </w:rPr>
      </w:pPr>
    </w:p>
    <w:p>
      <w:pPr>
        <w:ind w:left="960" w:right="80" w:hanging="485"/>
        <w:spacing w:after="0" w:line="285" w:lineRule="auto"/>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market acceptance of our product candidates, to the extent any are approved for commercial sale, and the revenue, if any, received from commercial sales of our product candidates for which we receive marketing approval;</w:t>
      </w:r>
    </w:p>
    <w:p>
      <w:pPr>
        <w:spacing w:after="0" w:line="55" w:lineRule="exact"/>
        <w:rPr>
          <w:rFonts w:ascii="Arial" w:cs="Arial" w:eastAsia="Arial" w:hAnsi="Arial"/>
          <w:sz w:val="19"/>
          <w:szCs w:val="19"/>
          <w:color w:val="231F20"/>
        </w:rPr>
      </w:pPr>
    </w:p>
    <w:p>
      <w:pPr>
        <w:ind w:left="960" w:right="260" w:hanging="485"/>
        <w:spacing w:after="0" w:line="288" w:lineRule="auto"/>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and timing of preparing, filing and prosecuting patent applications, maintaining and enforcing our intellectual property rights and defending any intellectual property-related claims;</w:t>
      </w:r>
    </w:p>
    <w:p>
      <w:pPr>
        <w:spacing w:after="0" w:line="51" w:lineRule="exact"/>
        <w:rPr>
          <w:rFonts w:ascii="Arial" w:cs="Arial" w:eastAsia="Arial" w:hAnsi="Arial"/>
          <w:sz w:val="19"/>
          <w:szCs w:val="19"/>
          <w:color w:val="231F20"/>
        </w:rPr>
      </w:pPr>
    </w:p>
    <w:p>
      <w:pPr>
        <w:ind w:left="960" w:hanging="485"/>
        <w:spacing w:after="0"/>
        <w:tabs>
          <w:tab w:leader="none" w:pos="9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the effect of competing technological and market developments; and</w:t>
      </w:r>
    </w:p>
    <w:p>
      <w:pPr>
        <w:sectPr>
          <w:pgSz w:w="11880" w:h="15480" w:orient="portrait"/>
          <w:cols w:equalWidth="0" w:num="1">
            <w:col w:w="10440"/>
          </w:cols>
          <w:pgMar w:left="700" w:top="963" w:right="740" w:bottom="826" w:gutter="0" w:footer="0" w:header="0"/>
        </w:sectPr>
      </w:pPr>
    </w:p>
    <w:bookmarkStart w:id="91" w:name="page92"/>
    <w:bookmarkEnd w:id="91"/>
    <w:p>
      <w:pPr>
        <w:ind w:left="940" w:right="340" w:hanging="465"/>
        <w:spacing w:after="0" w:line="285" w:lineRule="auto"/>
        <w:tabs>
          <w:tab w:leader="none" w:pos="94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the extent to which we acquire or invest in businesses, products and technologies, including entering into licensing or collaboration arrangements for product candidates.</w:t>
      </w:r>
    </w:p>
    <w:p>
      <w:pPr>
        <w:spacing w:after="0" w:line="30"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9"/>
          <w:szCs w:val="19"/>
          <w:color w:val="231F20"/>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Adequate additional funds may not be available to us on acceptable terms when we need them, or at all. We do not currently have any committed external source of funds, except for possible future payments from GSK under our collaboration with them. To the extent that we raise additional capital through the sale of equity or convertible debt securities, the ownership interest of our existing shareholders will be diluted, and the terms may include liquidation or other preferences that adversely affect the rights of our shareholders.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interests.</w:t>
      </w:r>
    </w:p>
    <w:p>
      <w:pPr>
        <w:spacing w:after="0" w:line="62" w:lineRule="exact"/>
        <w:rPr>
          <w:sz w:val="20"/>
          <w:szCs w:val="20"/>
          <w:color w:val="auto"/>
        </w:rPr>
      </w:pPr>
    </w:p>
    <w:p>
      <w:pPr>
        <w:jc w:val="both"/>
        <w:ind w:right="220"/>
        <w:spacing w:after="0" w:line="241" w:lineRule="auto"/>
        <w:rPr>
          <w:sz w:val="20"/>
          <w:szCs w:val="20"/>
          <w:color w:val="auto"/>
        </w:rPr>
      </w:pPr>
      <w:r>
        <w:rPr>
          <w:rFonts w:ascii="Times New Roman" w:cs="Times New Roman" w:eastAsia="Times New Roman" w:hAnsi="Times New Roman"/>
          <w:sz w:val="19"/>
          <w:szCs w:val="19"/>
          <w:color w:val="231F20"/>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Recently Issued and Adopted Accounting Pronouncements</w:t>
      </w:r>
    </w:p>
    <w:p>
      <w:pPr>
        <w:spacing w:after="0" w:line="12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For detailed information regarding recently issued and adopted accounting pronouncements and the expected impact on our consolidated financial statements, see Note 2 “Significant Accounting Policies” in the notes to the consolidated financial statements appearing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Critical Accounting Policies and Significant Judgments and Estimates</w:t>
      </w:r>
    </w:p>
    <w:p>
      <w:pPr>
        <w:spacing w:after="0" w:line="12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231F20"/>
        </w:rPr>
        <w:t>Our consolidated financial statements are prepared in accordance with U.S. GAAP. The preparation of our financial statements and related disclosures requires us to make estimates and assumptions that affect the reported amount of assets, liabilities, revenue, costs and expenses and related disclosures. We believe that our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our analysis of contracts with CROs and CMOs to estimate the contract expense, involve a greater degree of judgment, and therefore we consider them to be our critical accounting policies. We evaluate our estimates and assumptions on an ongoing basis. Our actual results may differ from these estimates under different assumptions and conditions.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Revenue Recognition</w:t>
      </w:r>
    </w:p>
    <w:p>
      <w:pPr>
        <w:spacing w:after="0" w:line="11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231F20"/>
        </w:rPr>
        <w:t>The Company recognizes revenue in accordance with Accounting Standards Codification (“ASC”) Topic 606, Revenue from Contracts with Customers (“ASC 606”).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231F20"/>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prepayment or reimbursement of certain costs; customer option exercise fees; development, regulatory and commercial milestone payments; and royalties on net sales of licensed products. Any variable consideration is constrained, and therefore, the cumulative revenue associated with this consideration is not recognized until it is deemed not to be at significant risk of reversal.</w:t>
      </w:r>
    </w:p>
    <w:p>
      <w:pPr>
        <w:sectPr>
          <w:pgSz w:w="11880" w:h="15480" w:orient="portrait"/>
          <w:cols w:equalWidth="0" w:num="1">
            <w:col w:w="10400"/>
          </w:cols>
          <w:pgMar w:left="700" w:top="977" w:right="780" w:bottom="687" w:gutter="0" w:footer="0" w:header="0"/>
        </w:sectPr>
      </w:pPr>
    </w:p>
    <w:bookmarkStart w:id="92" w:name="page93"/>
    <w:bookmarkEnd w:id="92"/>
    <w:p>
      <w:pPr>
        <w:spacing w:after="0" w:line="249" w:lineRule="auto"/>
        <w:rPr>
          <w:sz w:val="20"/>
          <w:szCs w:val="20"/>
          <w:color w:val="auto"/>
        </w:rPr>
      </w:pPr>
      <w:r>
        <w:rPr>
          <w:rFonts w:ascii="Times New Roman" w:cs="Times New Roman" w:eastAsia="Times New Roman" w:hAnsi="Times New Roman"/>
          <w:sz w:val="19"/>
          <w:szCs w:val="19"/>
          <w:color w:val="231F20"/>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7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9"/>
          <w:szCs w:val="19"/>
          <w:color w:val="231F20"/>
        </w:rPr>
        <w:t>Amounts received prior to being recognized as revenue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6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i w:val="1"/>
          <w:iCs w:val="1"/>
          <w:color w:val="231F20"/>
        </w:rPr>
        <w:t xml:space="preserve">Licenses of intellectual property: </w:t>
      </w:r>
      <w:r>
        <w:rPr>
          <w:rFonts w:ascii="Times New Roman" w:cs="Times New Roman" w:eastAsia="Times New Roman" w:hAnsi="Times New Roman"/>
          <w:sz w:val="19"/>
          <w:szCs w:val="19"/>
          <w:color w:val="231F20"/>
        </w:rPr>
        <w:t>In assessing whether a promise or performance obligation is distinct from the other promises, the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Company considers 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8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i w:val="1"/>
          <w:iCs w:val="1"/>
          <w:color w:val="231F20"/>
        </w:rPr>
        <w:t xml:space="preserve">Research and development services: </w:t>
      </w:r>
      <w:r>
        <w:rPr>
          <w:rFonts w:ascii="Times New Roman" w:cs="Times New Roman" w:eastAsia="Times New Roman" w:hAnsi="Times New Roman"/>
          <w:sz w:val="19"/>
          <w:szCs w:val="19"/>
          <w:color w:val="231F20"/>
        </w:rPr>
        <w:t>If an arrangement is determined to contain a promise or obligation for the Company to perform</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research and development 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7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i w:val="1"/>
          <w:iCs w:val="1"/>
          <w:color w:val="231F20"/>
        </w:rPr>
        <w:t xml:space="preserve">Customer options: </w:t>
      </w:r>
      <w:r>
        <w:rPr>
          <w:rFonts w:ascii="Times New Roman" w:cs="Times New Roman" w:eastAsia="Times New Roman" w:hAnsi="Times New Roman"/>
          <w:sz w:val="19"/>
          <w:szCs w:val="19"/>
          <w:color w:val="231F20"/>
        </w:rPr>
        <w:t>If an arrangement is determined to contain customer options that allow the customer to acquire additional goods or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Amounts allocated to any material right are not recognized as revenue until the option is exercised and the performance obligation is satisfied.</w:t>
      </w:r>
    </w:p>
    <w:p>
      <w:pPr>
        <w:spacing w:after="0" w:line="7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9"/>
          <w:szCs w:val="19"/>
          <w:i w:val="1"/>
          <w:iCs w:val="1"/>
          <w:color w:val="231F20"/>
        </w:rPr>
        <w:t xml:space="preserve">Milestone payments: </w:t>
      </w:r>
      <w:r>
        <w:rPr>
          <w:rFonts w:ascii="Times New Roman" w:cs="Times New Roman" w:eastAsia="Times New Roman" w:hAnsi="Times New Roman"/>
          <w:sz w:val="19"/>
          <w:szCs w:val="19"/>
          <w:color w:val="231F20"/>
        </w:rPr>
        <w:t>At the inception of each arrangement that includes milestone payments, the Company evaluates whether a</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7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9"/>
          <w:szCs w:val="19"/>
          <w:i w:val="1"/>
          <w:iCs w:val="1"/>
          <w:color w:val="231F20"/>
        </w:rPr>
        <w:t xml:space="preserve">Royalties: </w:t>
      </w:r>
      <w:r>
        <w:rPr>
          <w:rFonts w:ascii="Times New Roman" w:cs="Times New Roman" w:eastAsia="Times New Roman" w:hAnsi="Times New Roman"/>
          <w:sz w:val="19"/>
          <w:szCs w:val="19"/>
          <w:color w:val="231F20"/>
        </w:rPr>
        <w:t>For arrangements that include sales- based royalties, including milestone payments based on a level of sales, and the license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is deemed to be the predominant item to which the royalties relate, the Company recognizes revenue at the later of (i) when the related</w:t>
      </w:r>
    </w:p>
    <w:p>
      <w:pPr>
        <w:sectPr>
          <w:pgSz w:w="11880" w:h="15480" w:orient="portrait"/>
          <w:cols w:equalWidth="0" w:num="1">
            <w:col w:w="10480"/>
          </w:cols>
          <w:pgMar w:left="700" w:top="963" w:right="700" w:bottom="679" w:gutter="0" w:footer="0" w:header="0"/>
        </w:sectPr>
      </w:pPr>
    </w:p>
    <w:bookmarkStart w:id="93" w:name="page94"/>
    <w:bookmarkEnd w:id="93"/>
    <w:p>
      <w:pPr>
        <w:ind w:right="280"/>
        <w:spacing w:after="0" w:line="286" w:lineRule="auto"/>
        <w:rPr>
          <w:sz w:val="20"/>
          <w:szCs w:val="20"/>
          <w:color w:val="auto"/>
        </w:rPr>
      </w:pPr>
      <w:r>
        <w:rPr>
          <w:rFonts w:ascii="Times New Roman" w:cs="Times New Roman" w:eastAsia="Times New Roman" w:hAnsi="Times New Roman"/>
          <w:sz w:val="19"/>
          <w:szCs w:val="19"/>
          <w:color w:val="231F20"/>
        </w:rPr>
        <w:t>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4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i w:val="1"/>
          <w:iCs w:val="1"/>
          <w:color w:val="231F20"/>
        </w:rPr>
        <w:t xml:space="preserve">Contract costs: </w:t>
      </w:r>
      <w:r>
        <w:rPr>
          <w:rFonts w:ascii="Times New Roman" w:cs="Times New Roman" w:eastAsia="Times New Roman" w:hAnsi="Times New Roman"/>
          <w:sz w:val="19"/>
          <w:szCs w:val="19"/>
          <w:color w:val="231F20"/>
        </w:rPr>
        <w:t>The Company recognizes as an asset the incremental costs of obtaining a contract with a customer if the costs are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expected to be recovered. 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For additional discussion of accounting for collaboration revenues, see Note 5 of our consolidated financial statements.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Prepaid and Accrued Research and Development Expenses</w:t>
      </w:r>
    </w:p>
    <w:p>
      <w:pPr>
        <w:spacing w:after="0" w:line="11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231F20"/>
        </w:rPr>
        <w:t>As we prepare our consolidated financial statements, we are required to estimate our prepaid and accrued expenses. For certain contracts with our CROs and CMOs, if the billing terms do not align with the pattern in which the work is completed by the CRO or CMO as of the end of the period, we are required to perform an analysis to estimate the expense, for the period and to date for each contract.</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Contracts that are subject to this analysis generally relate to the following services: research and development services, manufacturing services, toxicology studies and clinical trial services. Once we have completed our analysis, we will record the estimated expense in the period for each contract and, depending on the invoicing activity related to each contract, we either have a prepayment or accrual as of the end of the period. We base our estimates on communications with internal study managers, our knowledge of the ongoing and past work at the CROs and CMOs, and communications and reporting from our CROs and CMOs, where applicable.</w:t>
      </w:r>
    </w:p>
    <w:p>
      <w:pPr>
        <w:spacing w:after="0" w:line="12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7A.</w:t>
        <w:tab/>
        <w:t>Quantitative and Qualitative Disclosures about Market Risk</w:t>
      </w:r>
    </w:p>
    <w:p>
      <w:pPr>
        <w:spacing w:after="0" w:line="1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231F20"/>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Interest Rate Risk</w:t>
      </w:r>
    </w:p>
    <w:p>
      <w:pPr>
        <w:spacing w:after="0" w:line="11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9"/>
          <w:szCs w:val="19"/>
          <w:color w:val="231F20"/>
        </w:rPr>
        <w:t>We are exposed to interest rate risk in the ordinary course of our business. Our cash and cash equivalents are comprised of funds held in checking accounts and money market accounts.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Foreign Currency Risk</w:t>
      </w:r>
    </w:p>
    <w:p>
      <w:pPr>
        <w:spacing w:after="0" w:line="119"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9"/>
          <w:szCs w:val="19"/>
          <w:color w:val="231F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our results of operations or our cash flows. For the years ended December 31, 2025, 2024, and 2023, changes in foreign currency exchange rates did not have a material impact on our historical financial position, our business, our financial condition, our results of operations or our cash flows.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Inflation Risk</w:t>
      </w:r>
    </w:p>
    <w:p>
      <w:pPr>
        <w:spacing w:after="0" w:line="119"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9"/>
          <w:szCs w:val="19"/>
          <w:color w:val="231F20"/>
        </w:rPr>
        <w:t>We do not believe that inflation had a material effect on our business, financial condition, results of operations, or cash flows in the last two years. If global inflation trends continue, we expect appreciable increases in clinical trial, labor, and other operating costs.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Capital Market Risk</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231F20"/>
        </w:rPr>
        <w:t>We currently have no product revenues and depend on funds raised through other sources. One possible source of funding is through further equity offerings. Our ability to raise funds in this manner depends upon capital market forces affecting our share price, including global economic uncertainty on the capital markets.</w:t>
      </w:r>
    </w:p>
    <w:p>
      <w:pPr>
        <w:spacing w:after="0" w:line="16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8.</w:t>
      </w:r>
      <w:r>
        <w:rPr>
          <w:sz w:val="20"/>
          <w:szCs w:val="20"/>
          <w:color w:val="auto"/>
        </w:rPr>
        <w:tab/>
      </w:r>
      <w:r>
        <w:rPr>
          <w:rFonts w:ascii="Times New Roman" w:cs="Times New Roman" w:eastAsia="Times New Roman" w:hAnsi="Times New Roman"/>
          <w:sz w:val="19"/>
          <w:szCs w:val="19"/>
          <w:b w:val="1"/>
          <w:bCs w:val="1"/>
          <w:color w:val="231F20"/>
        </w:rPr>
        <w:t>Financial Statements and Supplementary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information required by this Item 8 is included at the end of this Annual Report on Form 10-K beginning on page F-1.</w:t>
      </w:r>
    </w:p>
    <w:p>
      <w:pPr>
        <w:spacing w:after="0" w:line="352" w:lineRule="exact"/>
        <w:rPr>
          <w:sz w:val="20"/>
          <w:szCs w:val="20"/>
          <w:color w:val="auto"/>
        </w:rPr>
      </w:pPr>
    </w:p>
    <w:p>
      <w:pPr>
        <w:ind w:right="2080"/>
        <w:spacing w:after="0" w:line="416" w:lineRule="auto"/>
        <w:rPr>
          <w:sz w:val="20"/>
          <w:szCs w:val="20"/>
          <w:color w:val="auto"/>
        </w:rPr>
      </w:pPr>
      <w:r>
        <w:rPr>
          <w:rFonts w:ascii="Times New Roman" w:cs="Times New Roman" w:eastAsia="Times New Roman" w:hAnsi="Times New Roman"/>
          <w:sz w:val="19"/>
          <w:szCs w:val="19"/>
          <w:b w:val="1"/>
          <w:bCs w:val="1"/>
          <w:color w:val="231F20"/>
        </w:rPr>
        <w:t xml:space="preserve">Item 9. Changes in and Disagreements with Accountants on Accounting and Financial Disclosure </w:t>
      </w:r>
      <w:r>
        <w:rPr>
          <w:rFonts w:ascii="Times New Roman" w:cs="Times New Roman" w:eastAsia="Times New Roman" w:hAnsi="Times New Roman"/>
          <w:sz w:val="19"/>
          <w:szCs w:val="19"/>
          <w:color w:val="231F20"/>
        </w:rPr>
        <w:t>Not applicable.</w:t>
      </w:r>
    </w:p>
    <w:p>
      <w:pPr>
        <w:sectPr>
          <w:pgSz w:w="11880" w:h="15480" w:orient="portrait"/>
          <w:cols w:equalWidth="0" w:num="1">
            <w:col w:w="10420"/>
          </w:cols>
          <w:pgMar w:left="700" w:top="963" w:right="760" w:bottom="954" w:gutter="0" w:footer="0" w:header="0"/>
        </w:sectPr>
      </w:pPr>
    </w:p>
    <w:bookmarkStart w:id="94" w:name="page95"/>
    <w:bookmarkEnd w:id="94"/>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9A.</w:t>
        <w:tab/>
        <w:t>Controls and Procedures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Evaluation of Disclosure Controls and Procedures</w:t>
      </w:r>
    </w:p>
    <w:p>
      <w:pPr>
        <w:spacing w:after="0" w:line="12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Our management, with the participation of our principal executive officer and principal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principal executive officer and principal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Changes in Internal Control over Financial Reporting</w:t>
      </w:r>
    </w:p>
    <w:p>
      <w:pPr>
        <w:spacing w:after="0" w:line="123"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9"/>
          <w:szCs w:val="19"/>
          <w:color w:val="231F20"/>
        </w:rPr>
        <w:t>There were no changes in our internal control over financial reporting identified in connection with the evaluation of such internal control required by Rule 13a-15(d) and 15d-15(d) of the Exchange Act that occurred during the fiscal quarter ended December 31, 2025 that have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Management’s Annual Report on Internal Control over Financial Reporting</w:t>
      </w:r>
    </w:p>
    <w:p>
      <w:pPr>
        <w:spacing w:after="0" w:line="1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231F20"/>
        </w:rPr>
        <w:t>Our management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the company’s principal executive and principal financial officers and effected by the company’s Board,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7" w:lineRule="exact"/>
        <w:rPr>
          <w:sz w:val="20"/>
          <w:szCs w:val="20"/>
          <w:color w:val="auto"/>
        </w:rPr>
      </w:pPr>
    </w:p>
    <w:p>
      <w:pPr>
        <w:ind w:left="940" w:right="860" w:hanging="466"/>
        <w:spacing w:after="0" w:line="288" w:lineRule="auto"/>
        <w:tabs>
          <w:tab w:leader="none" w:pos="94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Pertain to the maintenance of records that, in reasonable detail, accurately and fairly reflect the transactions and dispositions of the assets of the company;</w:t>
      </w:r>
    </w:p>
    <w:p>
      <w:pPr>
        <w:spacing w:after="0" w:line="51" w:lineRule="exact"/>
        <w:rPr>
          <w:rFonts w:ascii="Arial" w:cs="Arial" w:eastAsia="Arial" w:hAnsi="Arial"/>
          <w:sz w:val="19"/>
          <w:szCs w:val="19"/>
          <w:color w:val="231F20"/>
        </w:rPr>
      </w:pPr>
    </w:p>
    <w:p>
      <w:pPr>
        <w:ind w:left="940" w:right="220" w:hanging="466"/>
        <w:spacing w:after="0" w:line="265" w:lineRule="auto"/>
        <w:tabs>
          <w:tab w:leader="none" w:pos="94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of the company; and</w:t>
      </w:r>
    </w:p>
    <w:p>
      <w:pPr>
        <w:spacing w:after="0" w:line="73" w:lineRule="exact"/>
        <w:rPr>
          <w:rFonts w:ascii="Arial" w:cs="Arial" w:eastAsia="Arial" w:hAnsi="Arial"/>
          <w:sz w:val="19"/>
          <w:szCs w:val="19"/>
          <w:color w:val="231F20"/>
        </w:rPr>
      </w:pPr>
    </w:p>
    <w:p>
      <w:pPr>
        <w:ind w:left="940" w:right="220" w:hanging="465"/>
        <w:spacing w:after="0" w:line="288" w:lineRule="auto"/>
        <w:tabs>
          <w:tab w:leader="none" w:pos="94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Provide reasonable assurance regarding prevention or timely detection of unauthorized acquisition, use or disposition of the company’s assets that could have a material effect on the financial statements.</w:t>
      </w:r>
    </w:p>
    <w:p>
      <w:pPr>
        <w:spacing w:after="0" w:line="3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9"/>
          <w:szCs w:val="19"/>
          <w:color w:val="231F20"/>
        </w:rPr>
        <w:t>Our management assessed the effectiveness of our internal control over financial reporting as of December 31, 2025. In making this assessment, management used the criteria set forth by the Committee of Sponsoring Organizations of the Treadway Commission (“COSO”) in Internal Control-Integrated Framework (2013).</w:t>
      </w:r>
    </w:p>
    <w:p>
      <w:pPr>
        <w:spacing w:after="0" w:line="5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9"/>
          <w:szCs w:val="19"/>
          <w:color w:val="231F20"/>
        </w:rPr>
        <w:t>Based on our assessment, management believes that, as of December 31, 2025, our internal control over financial reporting is effective based on those criteria.</w:t>
      </w:r>
    </w:p>
    <w:p>
      <w:pPr>
        <w:spacing w:after="0" w:line="35" w:lineRule="exact"/>
        <w:rPr>
          <w:sz w:val="20"/>
          <w:szCs w:val="20"/>
          <w:color w:val="auto"/>
        </w:rPr>
      </w:pPr>
    </w:p>
    <w:p>
      <w:pPr>
        <w:ind w:right="620"/>
        <w:spacing w:after="0" w:line="289" w:lineRule="auto"/>
        <w:rPr>
          <w:sz w:val="20"/>
          <w:szCs w:val="20"/>
          <w:color w:val="auto"/>
        </w:rPr>
      </w:pPr>
      <w:r>
        <w:rPr>
          <w:rFonts w:ascii="Times New Roman" w:cs="Times New Roman" w:eastAsia="Times New Roman" w:hAnsi="Times New Roman"/>
          <w:sz w:val="19"/>
          <w:szCs w:val="19"/>
          <w:color w:val="231F20"/>
        </w:rPr>
        <w:t>The effectiveness of our internal control over financial reporting as of December 31, 2025 has been audited by KPMG LLP, an independent registered public accounting firm, as stated in their report.</w:t>
      </w:r>
    </w:p>
    <w:p>
      <w:pPr>
        <w:spacing w:after="0" w:line="2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9B.</w:t>
        <w:tab/>
        <w:t>Other Information</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Rule 10b5-1 Trading Plans</w:t>
      </w:r>
    </w:p>
    <w:p>
      <w:pPr>
        <w:sectPr>
          <w:pgSz w:w="11880" w:h="15480" w:orient="portrait"/>
          <w:cols w:equalWidth="0" w:num="1">
            <w:col w:w="10480"/>
          </w:cols>
          <w:pgMar w:left="700" w:top="961" w:right="700" w:bottom="981" w:gutter="0" w:footer="0" w:header="0"/>
        </w:sectPr>
      </w:pPr>
    </w:p>
    <w:bookmarkStart w:id="95" w:name="page96"/>
    <w:bookmarkEnd w:id="95"/>
    <w:p>
      <w:pPr>
        <w:ind w:right="160"/>
        <w:spacing w:after="0" w:line="255" w:lineRule="auto"/>
        <w:rPr>
          <w:sz w:val="20"/>
          <w:szCs w:val="20"/>
          <w:color w:val="auto"/>
        </w:rPr>
      </w:pPr>
      <w:r>
        <w:rPr>
          <w:rFonts w:ascii="Times New Roman" w:cs="Times New Roman" w:eastAsia="Times New Roman" w:hAnsi="Times New Roman"/>
          <w:sz w:val="19"/>
          <w:szCs w:val="19"/>
          <w:color w:val="231F20"/>
        </w:rPr>
        <w:t>During the three months ended December 31, 2025, certain of our officers (as defined in Rule 16a-1(f) of the Exchange Act) and directors entered into contracts, instructions or written plans (each, a “Rule 10b5-1 Trading Plan” and collectively, the “Rule 10b5-1 Trading Plans”) for the purchase or sale of our securities that are intended to satisfy the conditions specified in Rule 10b5-1(c) under the Exchange Act for an affirmative defense against liability for trading in securities on the basis of material nonpublic information. We describe the material terms of these Rule 10b5-1 Trading Plans below.</w:t>
      </w:r>
    </w:p>
    <w:p>
      <w:pPr>
        <w:spacing w:after="0" w:line="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On November 21, 2025, Paul B. Bolno, M.D., MBA, our President and Chief Executive Officer, adopted a Rule 10b5-1 Trading Plan providing for the sale of up to an aggregate of 1,480,900 of our ordinary shares pursuant to the terms of such Rule 10b5-1 Trading Plan. Dr. Bolno's Rule 10b5- 1 Trading Plan is active until June 16, 2026, or earlier, if and when all transactions under the Rule 10b5-1 Trading Plan are completed.</w:t>
      </w:r>
    </w:p>
    <w:p>
      <w:pPr>
        <w:spacing w:after="0" w:line="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231F20"/>
        </w:rPr>
        <w:t>On November 20, 2025, Christopher Francis, Ph.D., our Senior Vice President, Corporate Development, Head of Emerging Areas, adopted a Rule 10b5-1 Trading Plan providing for the sale of up to an aggregate of 520,702 of our ordinary shares pursuant to the terms of such Rule 10b5-1 Trading Plan. Dr. Francis’ Rule 10b5-1 Trading Plan is active until August 21, 2026, or earlier, if and when all transactions under the Rule 10b5-1 Trading Plan are completed.</w:t>
      </w:r>
    </w:p>
    <w:p>
      <w:pPr>
        <w:spacing w:after="0" w:line="6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231F20"/>
        </w:rPr>
        <w:t>On December 17, 2025, Kyle Moran, CFA, our Chief Financial Officer, terminated a Rule 10b5- 1 Trading Plan that was originally adopted on November 20, 2025. Mr. Moran’s former Rule 10b5-1 Trading Plan provided for the sale of up to an aggregate of 392,647 of our ordinary shares. No ordinary shares were sold under Dr. Moran’s Rule 10b5-1 Trading Plan prior to its termination.</w:t>
      </w:r>
    </w:p>
    <w:p>
      <w:pPr>
        <w:spacing w:after="0" w:line="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231F20"/>
        </w:rPr>
        <w:t>On December 18, 2025, Mr. Moran adopted a Rule 10b5-1 Trading Plan providing for the sale of up to an aggregate of 196,647 of our ordinary shares pursuant to the terms of such Rule 10b5-1 Trading Plan. Mr. Moran's Rule 10b5-1 Trading Plan is active until August 21, 2026, or earlier, if and when all transactions under the Rule 10b5-1 Trading Plan are completed.</w:t>
      </w:r>
    </w:p>
    <w:p>
      <w:pPr>
        <w:spacing w:after="0" w:line="5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231F20"/>
        </w:rPr>
        <w:t>On December 16, 2025, Chandra Vargeese, Ph.D., our Chief Technology Officer, Head of Platform Discovery Sciences, terminated a Rule 10b5-1 Trading Plan that was originally adopted on November 19, 2025. Dr. Vargeese’s former Rule 10b5-1 Trading Plan provided for the sale of up to an aggregate of 132,886 of our ordinary shares. No ordinary shares were sold under Dr. Vargeese’s Rule 10b5-1 Trading Plan prior to its termination.</w:t>
      </w:r>
    </w:p>
    <w:p>
      <w:pPr>
        <w:spacing w:after="0" w:line="6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color w:val="231F20"/>
        </w:rPr>
        <w:t>On December 17, 2025, Dr. Vargeese adopted a Rule 10b5-1 Trading Plan providing for the sale of up to an aggregate of 82,886 of our ordinary shares pursuant to the terms of such Rule 10b5-1 Trading Plan. Dr. Vargeese’s Rule 10b5-1 Trading Plan is active until August 20, 2026, or earlier, if and when all transactions under the Rule 10b5-1 Trading Plan are completed.</w:t>
      </w:r>
    </w:p>
    <w:p>
      <w:pPr>
        <w:spacing w:after="0" w:line="5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231F20"/>
        </w:rPr>
        <w:t>Except as disclosed above, none of our directors or executive officers adopted, modified or terminated any contract, instruction or written plan for the purchase or sale of our securities that was intended to satisfy the affirmative defense conditions of Rule 10b5- 1(c) or any “non-Rule 10b5-1 trading arrangement” as such term is defined in Item 408(a) of Regulation S-K, during the fiscal quarter ended December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60"/>
        <w:spacing w:after="0" w:line="406" w:lineRule="auto"/>
        <w:rPr>
          <w:sz w:val="20"/>
          <w:szCs w:val="20"/>
          <w:color w:val="auto"/>
        </w:rPr>
      </w:pPr>
      <w:r>
        <w:rPr>
          <w:rFonts w:ascii="Times New Roman" w:cs="Times New Roman" w:eastAsia="Times New Roman" w:hAnsi="Times New Roman"/>
          <w:sz w:val="19"/>
          <w:szCs w:val="19"/>
          <w:b w:val="1"/>
          <w:bCs w:val="1"/>
          <w:color w:val="231F20"/>
        </w:rPr>
        <w:t xml:space="preserve">Item 9C. Disclosure Regarding Foreign Jurisdictions that Prevent Inspections </w:t>
      </w:r>
      <w:r>
        <w:rPr>
          <w:rFonts w:ascii="Times New Roman" w:cs="Times New Roman" w:eastAsia="Times New Roman" w:hAnsi="Times New Roman"/>
          <w:sz w:val="19"/>
          <w:szCs w:val="19"/>
          <w:color w:val="231F20"/>
        </w:rPr>
        <w:t>Not applicable.</w:t>
      </w:r>
    </w:p>
    <w:p>
      <w:pPr>
        <w:sectPr>
          <w:pgSz w:w="11880" w:h="15480" w:orient="portrait"/>
          <w:cols w:equalWidth="0" w:num="1">
            <w:col w:w="10460"/>
          </w:cols>
          <w:pgMar w:left="700" w:top="963" w:right="720" w:bottom="1440" w:gutter="0" w:footer="0" w:header="0"/>
        </w:sectPr>
      </w:pPr>
    </w:p>
    <w:bookmarkStart w:id="96" w:name="page97"/>
    <w:bookmarkEnd w:id="96"/>
    <w:p>
      <w:pPr>
        <w:ind w:left="4840"/>
        <w:spacing w:after="0"/>
        <w:rPr>
          <w:sz w:val="20"/>
          <w:szCs w:val="20"/>
          <w:color w:val="auto"/>
        </w:rPr>
      </w:pPr>
      <w:r>
        <w:rPr>
          <w:rFonts w:ascii="Times New Roman" w:cs="Times New Roman" w:eastAsia="Times New Roman" w:hAnsi="Times New Roman"/>
          <w:sz w:val="19"/>
          <w:szCs w:val="19"/>
          <w:b w:val="1"/>
          <w:bCs w:val="1"/>
          <w:color w:val="231F20"/>
        </w:rPr>
        <w:t>PART III</w:t>
      </w:r>
    </w:p>
    <w:p>
      <w:pPr>
        <w:spacing w:after="0" w:line="23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10.</w:t>
        <w:tab/>
        <w:t>Directors, Executive Officers and Corporate Governance</w:t>
      </w:r>
    </w:p>
    <w:p>
      <w:pPr>
        <w:spacing w:after="0" w:line="1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231F20"/>
        </w:rPr>
        <w:t>Information required by this item will be contained in our definitive proxy statement to be filed with the SEC on Schedule 14A in connection with our 2026 Annual General Meeting of Shareholders, (the "Proxy Statement"), if the Proxy Statement is filed not later than 120 days after the end of our fiscal year ended December 31, 2025, in the sections titled “Management and Corporate Governance,” and “Code of Business Conduct and Ethics,” and is incorporated herein by reference. If the Proxy Statement is not filed within such 120 -day period, the information required by this item will be contained in an amendment to this Annual Report on Form 10-K to be filed with the SEC (the "Form 10-K/A").</w:t>
      </w:r>
    </w:p>
    <w:p>
      <w:pPr>
        <w:spacing w:after="0" w:line="3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11.</w:t>
        <w:tab/>
        <w:t>Executive Compensation</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The information required by this item is incorporated by reference to the information set forth in the section titled “Executive Officer and Director Compensation,” Compensation Discussion and Analysis,” “Management and Corporate Governance—Compensation Committee Interlocks and Insider Participation,” and “Compensation Committee Report” in our Proxy Statement. The section entitled “Pay Versus Performance” in our Proxy Statement is not incorporated by reference herein. If the Proxy Statement is not filed within 120 days after the end of our fiscal year ended December 31, 2025, the information required by this item will be contained in the Form 10-K/A.</w:t>
      </w:r>
    </w:p>
    <w:p>
      <w:pPr>
        <w:spacing w:after="0" w:line="3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12.</w:t>
        <w:tab/>
        <w:t>Security Ownership of Certain Beneficial Owners and Management and Related Stockholder Matters</w:t>
      </w:r>
    </w:p>
    <w:p>
      <w:pPr>
        <w:spacing w:after="0" w:line="1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The information required by this item is incorporated by reference to the information set forth in the sections titled “Security Ownership of Certain Beneficial Owners and Management” and “Equity Compensation Plan Information” in our Proxy Statement. If the Proxy Statement is not filed within 120 days after the end of our fiscal year ended December 31, 2025, the information required by this item will be contained in the Form 10-K/A.</w:t>
      </w:r>
    </w:p>
    <w:p>
      <w:pPr>
        <w:spacing w:after="0" w:line="2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13.</w:t>
        <w:tab/>
        <w:t>Certain Relationships and Related Transactions, and Director Independence</w:t>
      </w:r>
    </w:p>
    <w:p>
      <w:pPr>
        <w:spacing w:after="0" w:line="12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231F20"/>
        </w:rPr>
        <w:t>The information required by this item is incorporated by reference to the information set forth in the sections titled “Certain Relationships and Related Person Transactions” and “Management and Corporate Governance – Director Independence” in our Proxy Statement. If the Proxy Statement is not filed within 120 days after the end of our fiscal year ended December 31, 2025, the information required by this item will be contained in the Form 10-K/A.</w:t>
      </w:r>
    </w:p>
    <w:p>
      <w:pPr>
        <w:spacing w:after="0" w:line="2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14.</w:t>
        <w:tab/>
        <w:t>Principal Accountant Fees and Services</w:t>
      </w:r>
    </w:p>
    <w:p>
      <w:pPr>
        <w:spacing w:after="0" w:line="1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231F20"/>
        </w:rPr>
        <w:t>The information required by this item regarding principal accountant fees and services is incorporated by reference to the information set forth in the sections titled “Principal Accountant Fees and Services” and “Policy on Audit Committee Pre-Approval of Audit and Permissible Non -Audit Services of Independent Public Accounting Firm” in our Proxy Statement. If the Proxy Statement is not filed within 120 days after the end of our fiscal year ended December 31, 2025, the information required by this item will be contained in the Form 10-K/A.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Our independent registered public accounting firm is KPMG LLP, Boston, MA, Auditor Firm ID: 185.</w:t>
      </w:r>
    </w:p>
    <w:p>
      <w:pPr>
        <w:sectPr>
          <w:pgSz w:w="11880" w:h="15480" w:orient="portrait"/>
          <w:cols w:equalWidth="0" w:num="1">
            <w:col w:w="10460"/>
          </w:cols>
          <w:pgMar w:left="700" w:top="961" w:right="72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9"/>
          <w:szCs w:val="19"/>
          <w:b w:val="1"/>
          <w:bCs w:val="1"/>
          <w:color w:val="231F20"/>
        </w:rPr>
        <w:t>PART IV</w:t>
      </w:r>
    </w:p>
    <w:p>
      <w:pPr>
        <w:spacing w:after="0" w:line="235" w:lineRule="exact"/>
        <w:rPr>
          <w:sz w:val="20"/>
          <w:szCs w:val="20"/>
          <w:color w:val="auto"/>
        </w:rPr>
      </w:pPr>
    </w:p>
    <w:p>
      <w:pPr>
        <w:ind w:left="1"/>
        <w:spacing w:after="0"/>
        <w:tabs>
          <w:tab w:leader="none" w:pos="920" w:val="left"/>
        </w:tabs>
        <w:rPr>
          <w:sz w:val="20"/>
          <w:szCs w:val="20"/>
          <w:color w:val="auto"/>
        </w:rPr>
      </w:pPr>
      <w:r>
        <w:rPr>
          <w:rFonts w:ascii="Times New Roman" w:cs="Times New Roman" w:eastAsia="Times New Roman" w:hAnsi="Times New Roman"/>
          <w:sz w:val="19"/>
          <w:szCs w:val="19"/>
          <w:b w:val="1"/>
          <w:bCs w:val="1"/>
          <w:color w:val="231F20"/>
        </w:rPr>
        <w:t>Item 15.</w:t>
        <w:tab/>
        <w:t>Exhibits and Financial Statement Schedules</w:t>
      </w:r>
    </w:p>
    <w:p>
      <w:pPr>
        <w:spacing w:after="0" w:line="123" w:lineRule="exact"/>
        <w:rPr>
          <w:sz w:val="20"/>
          <w:szCs w:val="20"/>
          <w:color w:val="auto"/>
        </w:rPr>
      </w:pPr>
    </w:p>
    <w:p>
      <w:pPr>
        <w:ind w:left="481" w:hanging="481"/>
        <w:spacing w:after="0"/>
        <w:tabs>
          <w:tab w:leader="none" w:pos="481" w:val="left"/>
        </w:tabs>
        <w:numPr>
          <w:ilvl w:val="0"/>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following documents are filed as part of this report:</w:t>
      </w:r>
    </w:p>
    <w:p>
      <w:pPr>
        <w:spacing w:after="0" w:line="121" w:lineRule="exact"/>
        <w:rPr>
          <w:rFonts w:ascii="Times New Roman" w:cs="Times New Roman" w:eastAsia="Times New Roman" w:hAnsi="Times New Roman"/>
          <w:sz w:val="19"/>
          <w:szCs w:val="19"/>
          <w:color w:val="231F20"/>
        </w:rPr>
      </w:pPr>
    </w:p>
    <w:p>
      <w:pPr>
        <w:ind w:left="1141" w:hanging="191"/>
        <w:spacing w:after="0"/>
        <w:tabs>
          <w:tab w:leader="none" w:pos="1141" w:val="left"/>
        </w:tabs>
        <w:numPr>
          <w:ilvl w:val="1"/>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Financial Statements</w:t>
      </w:r>
    </w:p>
    <w:p>
      <w:pPr>
        <w:spacing w:after="0" w:line="23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9"/>
          <w:szCs w:val="19"/>
          <w:color w:val="231F20"/>
        </w:rPr>
        <w:t>See Index to Consolidated Financial Statements on page [108] of this Annual Report on Form 10-K.</w:t>
      </w:r>
    </w:p>
    <w:p>
      <w:pPr>
        <w:spacing w:after="0" w:line="121"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9"/>
          <w:szCs w:val="19"/>
          <w:color w:val="231F20"/>
        </w:rPr>
        <w:t>2. Financial Statement Schedules</w:t>
      </w:r>
    </w:p>
    <w:p>
      <w:pPr>
        <w:spacing w:after="0" w:line="238" w:lineRule="exact"/>
        <w:rPr>
          <w:sz w:val="20"/>
          <w:szCs w:val="20"/>
          <w:color w:val="auto"/>
        </w:rPr>
      </w:pPr>
    </w:p>
    <w:p>
      <w:pPr>
        <w:ind w:left="941" w:right="60"/>
        <w:spacing w:after="0" w:line="286" w:lineRule="auto"/>
        <w:rPr>
          <w:sz w:val="20"/>
          <w:szCs w:val="20"/>
          <w:color w:val="auto"/>
        </w:rPr>
      </w:pPr>
      <w:r>
        <w:rPr>
          <w:rFonts w:ascii="Times New Roman" w:cs="Times New Roman" w:eastAsia="Times New Roman" w:hAnsi="Times New Roman"/>
          <w:sz w:val="19"/>
          <w:szCs w:val="19"/>
          <w:color w:val="231F20"/>
        </w:rPr>
        <w:t>All schedules are omitted because they are not applicable, or the required information is shown in the financial statements or notes thereto.</w:t>
      </w:r>
    </w:p>
    <w:p>
      <w:pPr>
        <w:spacing w:after="0" w:line="40"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9"/>
          <w:szCs w:val="19"/>
          <w:color w:val="231F20"/>
        </w:rPr>
        <w:t>3. Exhibits</w:t>
      </w:r>
    </w:p>
    <w:p>
      <w:pPr>
        <w:spacing w:after="0" w:line="23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9"/>
          <w:szCs w:val="19"/>
          <w:color w:val="231F20"/>
        </w:rPr>
        <w:t>The following is a list of exhibits filed as part of this Annual Report on Form 10-K.</w:t>
      </w: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Filed</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Incorporated by</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with</w:t>
            </w:r>
          </w:p>
        </w:tc>
        <w:tc>
          <w:tcPr>
            <w:tcW w:w="100" w:type="dxa"/>
            <w:vAlign w:val="bottom"/>
          </w:tcPr>
          <w:p>
            <w:pPr>
              <w:spacing w:after="0"/>
              <w:rPr>
                <w:sz w:val="15"/>
                <w:szCs w:val="15"/>
                <w:color w:val="auto"/>
              </w:rPr>
            </w:pPr>
          </w:p>
        </w:tc>
        <w:tc>
          <w:tcPr>
            <w:tcW w:w="18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6"/>
              </w:rPr>
              <w:t>Reference herein</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6"/>
              </w:rPr>
              <w:t>SEC</w:t>
            </w:r>
          </w:p>
        </w:tc>
        <w:tc>
          <w:tcPr>
            <w:tcW w:w="0" w:type="dxa"/>
            <w:vAlign w:val="bottom"/>
          </w:tcPr>
          <w:p>
            <w:pPr>
              <w:spacing w:after="0"/>
              <w:rPr>
                <w:sz w:val="1"/>
                <w:szCs w:val="1"/>
                <w:color w:val="auto"/>
              </w:rPr>
            </w:pPr>
          </w:p>
        </w:tc>
      </w:tr>
      <w:tr>
        <w:trPr>
          <w:trHeight w:val="179"/>
        </w:trPr>
        <w:tc>
          <w:tcPr>
            <w:tcW w:w="1000" w:type="dxa"/>
            <w:vAlign w:val="bottom"/>
          </w:tcPr>
          <w:p>
            <w:pPr>
              <w:ind w:left="260"/>
              <w:spacing w:after="0" w:line="179" w:lineRule="exact"/>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rPr>
              <w:t>this</w:t>
            </w:r>
          </w:p>
        </w:tc>
        <w:tc>
          <w:tcPr>
            <w:tcW w:w="100" w:type="dxa"/>
            <w:vAlign w:val="bottom"/>
          </w:tcPr>
          <w:p>
            <w:pPr>
              <w:spacing w:after="0"/>
              <w:rPr>
                <w:sz w:val="15"/>
                <w:szCs w:val="15"/>
                <w:color w:val="auto"/>
              </w:rPr>
            </w:pPr>
          </w:p>
        </w:tc>
        <w:tc>
          <w:tcPr>
            <w:tcW w:w="18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6"/>
              </w:rPr>
              <w:t>from Form or</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8"/>
              </w:rPr>
              <w:t>File/Reg.</w:t>
            </w:r>
          </w:p>
        </w:tc>
        <w:tc>
          <w:tcPr>
            <w:tcW w:w="0" w:type="dxa"/>
            <w:vAlign w:val="bottom"/>
          </w:tcPr>
          <w:p>
            <w:pPr>
              <w:spacing w:after="0"/>
              <w:rPr>
                <w:sz w:val="1"/>
                <w:szCs w:val="1"/>
                <w:color w:val="auto"/>
              </w:rPr>
            </w:pPr>
          </w:p>
        </w:tc>
      </w:tr>
      <w:tr>
        <w:trPr>
          <w:trHeight w:val="196"/>
        </w:trPr>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231F20"/>
              </w:rPr>
              <w:t>Exhibit Description</w:t>
            </w:r>
          </w:p>
        </w:tc>
        <w:tc>
          <w:tcPr>
            <w:tcW w:w="5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231F20"/>
                <w:w w:val="95"/>
              </w:rPr>
              <w:t>Report</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Schedule</w:t>
            </w:r>
          </w:p>
        </w:tc>
        <w:tc>
          <w:tcPr>
            <w:tcW w:w="100" w:type="dxa"/>
            <w:vAlign w:val="bottom"/>
          </w:tcPr>
          <w:p>
            <w:pPr>
              <w:spacing w:after="0"/>
              <w:rPr>
                <w:sz w:val="17"/>
                <w:szCs w:val="17"/>
                <w:color w:val="auto"/>
              </w:rPr>
            </w:pPr>
          </w:p>
        </w:tc>
        <w:tc>
          <w:tcPr>
            <w:tcW w:w="17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0" w:type="dxa"/>
            <w:vAlign w:val="bottom"/>
          </w:tcPr>
          <w:p>
            <w:pPr>
              <w:spacing w:after="0"/>
              <w:rPr>
                <w:sz w:val="1"/>
                <w:szCs w:val="1"/>
                <w:color w:val="auto"/>
              </w:rPr>
            </w:pPr>
          </w:p>
        </w:tc>
      </w:tr>
      <w:tr>
        <w:trPr>
          <w:trHeight w:val="327"/>
        </w:trPr>
        <w:tc>
          <w:tcPr>
            <w:tcW w:w="100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3.1</w:t>
            </w:r>
          </w:p>
        </w:tc>
        <w:tc>
          <w:tcPr>
            <w:tcW w:w="100" w:type="dxa"/>
            <w:vAlign w:val="bottom"/>
          </w:tcPr>
          <w:p>
            <w:pPr>
              <w:spacing w:after="0"/>
              <w:rPr>
                <w:sz w:val="24"/>
                <w:szCs w:val="24"/>
                <w:color w:val="auto"/>
              </w:rPr>
            </w:pPr>
          </w:p>
        </w:tc>
        <w:tc>
          <w:tcPr>
            <w:tcW w:w="380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Constitution (formerly known as Memorandum</w:t>
            </w:r>
          </w:p>
        </w:tc>
        <w:tc>
          <w:tcPr>
            <w:tcW w:w="100" w:type="dxa"/>
            <w:vAlign w:val="bottom"/>
          </w:tcPr>
          <w:p>
            <w:pPr>
              <w:spacing w:after="0"/>
              <w:rPr>
                <w:sz w:val="24"/>
                <w:szCs w:val="24"/>
                <w:color w:val="auto"/>
              </w:rPr>
            </w:pPr>
          </w:p>
        </w:tc>
        <w:tc>
          <w:tcPr>
            <w:tcW w:w="46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9"/>
                <w:szCs w:val="19"/>
                <w:color w:val="231F20"/>
              </w:rPr>
              <w:t>Amendment No. 5</w:t>
            </w:r>
          </w:p>
        </w:tc>
        <w:tc>
          <w:tcPr>
            <w:tcW w:w="100" w:type="dxa"/>
            <w:vAlign w:val="bottom"/>
          </w:tcPr>
          <w:p>
            <w:pPr>
              <w:spacing w:after="0"/>
              <w:rPr>
                <w:sz w:val="24"/>
                <w:szCs w:val="24"/>
                <w:color w:val="auto"/>
              </w:rPr>
            </w:pPr>
          </w:p>
        </w:tc>
        <w:tc>
          <w:tcPr>
            <w:tcW w:w="17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9"/>
                <w:szCs w:val="19"/>
                <w:color w:val="231F20"/>
              </w:rPr>
              <w:t>11/10/2015</w:t>
            </w:r>
          </w:p>
        </w:tc>
        <w:tc>
          <w:tcPr>
            <w:tcW w:w="120" w:type="dxa"/>
            <w:vAlign w:val="bottom"/>
          </w:tcPr>
          <w:p>
            <w:pPr>
              <w:spacing w:after="0"/>
              <w:rPr>
                <w:sz w:val="24"/>
                <w:szCs w:val="24"/>
                <w:color w:val="auto"/>
              </w:rPr>
            </w:pPr>
          </w:p>
        </w:tc>
        <w:tc>
          <w:tcPr>
            <w:tcW w:w="11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9"/>
                <w:szCs w:val="19"/>
                <w:color w:val="231F20"/>
              </w:rPr>
              <w:t>333-207379</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of Association and Articles of Association)</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to Form S-1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3.2)</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4.1</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Form of Specimen Ordinary Share Certificate</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Amendment No. 3</w:t>
            </w:r>
          </w:p>
        </w:tc>
        <w:tc>
          <w:tcPr>
            <w:tcW w:w="18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11/06/2015</w:t>
            </w:r>
          </w:p>
        </w:tc>
        <w:tc>
          <w:tcPr>
            <w:tcW w:w="128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231F20"/>
              </w:rPr>
              <w:t>333-207379</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to Form S-1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4.2</w:t>
            </w:r>
          </w:p>
        </w:tc>
        <w:tc>
          <w:tcPr>
            <w:tcW w:w="100" w:type="dxa"/>
            <w:vAlign w:val="bottom"/>
          </w:tcPr>
          <w:p>
            <w:pPr>
              <w:spacing w:after="0"/>
              <w:rPr>
                <w:sz w:val="22"/>
                <w:szCs w:val="22"/>
                <w:color w:val="auto"/>
              </w:rPr>
            </w:pPr>
          </w:p>
        </w:tc>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231F20"/>
              </w:rPr>
              <w:t>Description of Securities of the Registrant and</w:t>
            </w:r>
          </w:p>
        </w:tc>
        <w:tc>
          <w:tcPr>
            <w:tcW w:w="10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231F20"/>
              </w:rPr>
              <w:t>X</w:t>
            </w: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4.1)</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Comparison of Shareholder Rights</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4.3.1</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Form of Pre-Funded Warrant (2022)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Form 8-K</w:t>
            </w:r>
          </w:p>
        </w:tc>
        <w:tc>
          <w:tcPr>
            <w:tcW w:w="18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06/14/2022</w:t>
            </w:r>
          </w:p>
        </w:tc>
        <w:tc>
          <w:tcPr>
            <w:tcW w:w="128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001-37627</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4.1)</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4.3.2</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Form of Pre-Funded Warrant (2024)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Form 8-K</w:t>
            </w:r>
          </w:p>
        </w:tc>
        <w:tc>
          <w:tcPr>
            <w:tcW w:w="180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231F20"/>
              </w:rPr>
              <w:t>9/26/2024</w:t>
            </w:r>
          </w:p>
        </w:tc>
        <w:tc>
          <w:tcPr>
            <w:tcW w:w="128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001-37627</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4.1)</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4.3.3</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Form of Pre-Funded Warrant (2025)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Form 8-K</w:t>
            </w:r>
          </w:p>
        </w:tc>
        <w:tc>
          <w:tcPr>
            <w:tcW w:w="18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12/11/2025</w:t>
            </w:r>
          </w:p>
        </w:tc>
        <w:tc>
          <w:tcPr>
            <w:tcW w:w="128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001-37627</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4.1)</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5"/>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4.4</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Share Purchase Agreement by and between the</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Form 10-Q</w:t>
            </w:r>
          </w:p>
        </w:tc>
        <w:tc>
          <w:tcPr>
            <w:tcW w:w="18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08/15/2016</w:t>
            </w:r>
          </w:p>
        </w:tc>
        <w:tc>
          <w:tcPr>
            <w:tcW w:w="128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001-37627</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Registrant and C.P. Pharmaceuticals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10.2)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International C.V., dated as of May 5, 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152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9"/>
                <w:szCs w:val="19"/>
                <w:b w:val="1"/>
                <w:bCs w:val="1"/>
                <w:color w:val="231F20"/>
              </w:rPr>
              <w:t>Lease Agreements</w:t>
            </w: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10.1.1</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Lease Agreement by and between Wave Life</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w w:val="99"/>
              </w:rPr>
              <w:t>Form S-1</w:t>
            </w:r>
          </w:p>
        </w:tc>
        <w:tc>
          <w:tcPr>
            <w:tcW w:w="18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10/09/2015</w:t>
            </w:r>
          </w:p>
        </w:tc>
        <w:tc>
          <w:tcPr>
            <w:tcW w:w="128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231F20"/>
              </w:rPr>
              <w:t>333-207379</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Sciences USA, Inc., the Registrant, and King</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10.7)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733 Concord LLC, dated as of April 6, 2015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10.1.2</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First Amendment (to Lease) by and between</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Form 10-K</w:t>
            </w:r>
          </w:p>
        </w:tc>
        <w:tc>
          <w:tcPr>
            <w:tcW w:w="18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03/04/2021</w:t>
            </w:r>
          </w:p>
        </w:tc>
        <w:tc>
          <w:tcPr>
            <w:tcW w:w="128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001-37627</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Wave Life Sciences USA, Inc. and CPI/King</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10.5.2)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733 Concord Owner, LLC, dated as of</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December 9, 2020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231F20"/>
              </w:rPr>
              <w:t>10.1.3</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Second Amendment (to Lease) by and between</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Form 10-Q</w:t>
            </w:r>
          </w:p>
        </w:tc>
        <w:tc>
          <w:tcPr>
            <w:tcW w:w="18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08/11/2022</w:t>
            </w:r>
          </w:p>
        </w:tc>
        <w:tc>
          <w:tcPr>
            <w:tcW w:w="128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231F20"/>
              </w:rPr>
              <w:t>001-37627</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Wave Life Sciences USA, Inc. and CPI/King</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(Exhibit 10.1)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733 Concord Owner, LLC, dated as of August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390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231F20"/>
              </w:rPr>
              <w:t>8, 2022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880" w:h="15480" w:orient="portrait"/>
          <w:cols w:equalWidth="0" w:num="1">
            <w:col w:w="10481"/>
          </w:cols>
          <w:pgMar w:left="699" w:top="961" w:right="700" w:bottom="999" w:gutter="0" w:footer="0" w:header="0"/>
        </w:sectPr>
      </w:pPr>
    </w:p>
    <w:bookmarkStart w:id="98" w:name="page99"/>
    <w:bookmarkEnd w:id="98"/>
    <w:p>
      <w:pPr>
        <w:ind w:left="1100" w:right="540" w:hanging="1107"/>
        <w:spacing w:after="0" w:line="266" w:lineRule="auto"/>
        <w:tabs>
          <w:tab w:leader="none" w:pos="1080" w:val="left"/>
        </w:tabs>
        <w:rPr>
          <w:sz w:val="20"/>
          <w:szCs w:val="20"/>
          <w:color w:val="auto"/>
        </w:rPr>
      </w:pPr>
      <w:r>
        <w:rPr>
          <w:rFonts w:ascii="Times New Roman" w:cs="Times New Roman" w:eastAsia="Times New Roman" w:hAnsi="Times New Roman"/>
          <w:sz w:val="19"/>
          <w:szCs w:val="19"/>
          <w:color w:val="231F20"/>
        </w:rPr>
        <w:t>10.2.1</w:t>
      </w:r>
      <w:r>
        <w:rPr>
          <w:sz w:val="20"/>
          <w:szCs w:val="20"/>
          <w:color w:val="auto"/>
        </w:rPr>
        <w:tab/>
      </w:r>
      <w:r>
        <w:rPr>
          <w:rFonts w:ascii="Times New Roman" w:cs="Times New Roman" w:eastAsia="Times New Roman" w:hAnsi="Times New Roman"/>
          <w:sz w:val="19"/>
          <w:szCs w:val="19"/>
          <w:color w:val="231F20"/>
        </w:rPr>
        <w:t>Lease Agreement by and between Wave Life Sciences USA, Inc. and King 115 Hartwell LLC, dated as of September 26, 2016</w:t>
      </w:r>
    </w:p>
    <w:p>
      <w:pPr>
        <w:spacing w:after="0" w:line="77" w:lineRule="exact"/>
        <w:rPr>
          <w:sz w:val="20"/>
          <w:szCs w:val="20"/>
          <w:color w:val="auto"/>
        </w:rPr>
      </w:pPr>
    </w:p>
    <w:p>
      <w:pPr>
        <w:ind w:left="1100" w:right="440" w:hanging="1107"/>
        <w:spacing w:after="0" w:line="266" w:lineRule="auto"/>
        <w:tabs>
          <w:tab w:leader="none" w:pos="1080" w:val="left"/>
        </w:tabs>
        <w:rPr>
          <w:sz w:val="20"/>
          <w:szCs w:val="20"/>
          <w:color w:val="auto"/>
        </w:rPr>
      </w:pPr>
      <w:r>
        <w:rPr>
          <w:rFonts w:ascii="Times New Roman" w:cs="Times New Roman" w:eastAsia="Times New Roman" w:hAnsi="Times New Roman"/>
          <w:sz w:val="19"/>
          <w:szCs w:val="19"/>
          <w:color w:val="231F20"/>
        </w:rPr>
        <w:t>10.2.2</w:t>
      </w:r>
      <w:r>
        <w:rPr>
          <w:sz w:val="20"/>
          <w:szCs w:val="20"/>
          <w:color w:val="auto"/>
        </w:rPr>
        <w:tab/>
      </w:r>
      <w:r>
        <w:rPr>
          <w:rFonts w:ascii="Times New Roman" w:cs="Times New Roman" w:eastAsia="Times New Roman" w:hAnsi="Times New Roman"/>
          <w:sz w:val="19"/>
          <w:szCs w:val="19"/>
          <w:color w:val="231F20"/>
        </w:rPr>
        <w:t>First Amendment (to Lease) by and between Wave Life Sciences USA, Inc. and King 115 Hartwell LLC, dated as of December 31, 2016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231F20"/>
        </w:rPr>
        <w:t>Collaboration and License Agreements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10.3††</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Collaboration and License Agreement by and</w:t>
            </w:r>
          </w:p>
        </w:tc>
      </w:tr>
      <w:tr>
        <w:trPr>
          <w:trHeight w:val="223"/>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between Wave Life Sciences USA, Inc., Wave</w:t>
            </w:r>
          </w:p>
        </w:tc>
      </w:tr>
      <w:tr>
        <w:trPr>
          <w:trHeight w:val="224"/>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Life Sciences UK Limited and</w:t>
            </w:r>
          </w:p>
        </w:tc>
      </w:tr>
      <w:tr>
        <w:trPr>
          <w:trHeight w:val="221"/>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GlaxoSmithKline Intellectual Property (No. 3),</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dated as of December 13, 2022</w:t>
            </w: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10.4</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Share Purchase Agreement by and between</w:t>
            </w:r>
          </w:p>
        </w:tc>
      </w:tr>
      <w:tr>
        <w:trPr>
          <w:trHeight w:val="223"/>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Glaxo Group Limited and the Registrant, dated</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as of December 13, 2022</w:t>
            </w:r>
          </w:p>
        </w:tc>
      </w:tr>
      <w:tr>
        <w:trPr>
          <w:trHeight w:val="410"/>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10.5</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Investor Agreement by and between Glaxo</w:t>
            </w:r>
          </w:p>
        </w:tc>
      </w:tr>
      <w:tr>
        <w:trPr>
          <w:trHeight w:val="223"/>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Group Limited and the Registrant, dated as of</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January 26, 2023</w:t>
            </w:r>
          </w:p>
        </w:tc>
      </w:tr>
      <w:tr>
        <w:trPr>
          <w:trHeight w:val="319"/>
        </w:trPr>
        <w:tc>
          <w:tcPr>
            <w:tcW w:w="48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231F20"/>
              </w:rPr>
              <w:t>Agreements with Executive Officers and Directors</w:t>
            </w:r>
          </w:p>
        </w:tc>
      </w:tr>
      <w:tr>
        <w:trPr>
          <w:trHeight w:val="20"/>
        </w:trPr>
        <w:tc>
          <w:tcPr>
            <w:tcW w:w="820" w:type="dxa"/>
            <w:vAlign w:val="bottom"/>
            <w:shd w:val="clear" w:color="auto" w:fill="231F20"/>
          </w:tcPr>
          <w:p>
            <w:pPr>
              <w:spacing w:after="0" w:line="20" w:lineRule="exact"/>
              <w:rPr>
                <w:sz w:val="1"/>
                <w:szCs w:val="1"/>
                <w:color w:val="auto"/>
              </w:rPr>
            </w:pPr>
          </w:p>
        </w:tc>
        <w:tc>
          <w:tcPr>
            <w:tcW w:w="3340" w:type="dxa"/>
            <w:vAlign w:val="bottom"/>
            <w:shd w:val="clear" w:color="auto" w:fill="231F2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10.6+</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Form of Deed of Indemnity by and between the</w:t>
            </w:r>
          </w:p>
        </w:tc>
      </w:tr>
      <w:tr>
        <w:trPr>
          <w:trHeight w:val="221"/>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Registrant and each of its directors and certain</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of its officers</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10.7+</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Employment Agreement, as amended and</w:t>
            </w:r>
          </w:p>
        </w:tc>
      </w:tr>
      <w:tr>
        <w:trPr>
          <w:trHeight w:val="221"/>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restated, between the Registrant and Paul B.</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Bolno, dated as of May 8, 2020</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10.8+</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Employment Agreement, as amended and</w:t>
            </w:r>
          </w:p>
        </w:tc>
      </w:tr>
      <w:tr>
        <w:trPr>
          <w:trHeight w:val="221"/>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restated, between the Registrant and Chandra</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Vargeese, dated as of May 8, 2020</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10.9+</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Employment Agreement between the Registrant</w:t>
            </w:r>
          </w:p>
        </w:tc>
      </w:tr>
      <w:tr>
        <w:trPr>
          <w:trHeight w:val="221"/>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and Christopher Francis, Ph.D., dated as of</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November 8, 2022</w:t>
            </w:r>
          </w:p>
        </w:tc>
      </w:tr>
      <w:tr>
        <w:trPr>
          <w:trHeight w:val="322"/>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10.10+</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Employment Agreement, as amended and</w:t>
            </w:r>
          </w:p>
        </w:tc>
      </w:tr>
      <w:tr>
        <w:trPr>
          <w:trHeight w:val="223"/>
        </w:trPr>
        <w:tc>
          <w:tcPr>
            <w:tcW w:w="820" w:type="dxa"/>
            <w:vAlign w:val="bottom"/>
          </w:tcPr>
          <w:p>
            <w:pPr>
              <w:spacing w:after="0"/>
              <w:rPr>
                <w:sz w:val="19"/>
                <w:szCs w:val="19"/>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restated, between the Registrant and Kyle</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Moran, dated as of January 1, 2021</w:t>
            </w:r>
          </w:p>
        </w:tc>
      </w:tr>
      <w:tr>
        <w:trPr>
          <w:trHeight w:val="322"/>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231F20"/>
              </w:rPr>
              <w:t>10.11+</w:t>
            </w: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Non-Employee Director Compensation Policy,</w:t>
            </w:r>
          </w:p>
        </w:tc>
      </w:tr>
      <w:tr>
        <w:trPr>
          <w:trHeight w:val="258"/>
        </w:trPr>
        <w:tc>
          <w:tcPr>
            <w:tcW w:w="820" w:type="dxa"/>
            <w:vAlign w:val="bottom"/>
          </w:tcPr>
          <w:p>
            <w:pPr>
              <w:spacing w:after="0"/>
              <w:rPr>
                <w:sz w:val="22"/>
                <w:szCs w:val="22"/>
                <w:color w:val="auto"/>
              </w:rPr>
            </w:pPr>
          </w:p>
        </w:tc>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231F20"/>
              </w:rPr>
              <w:t>as amended, effective as of August 11, 2025</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231F20"/>
        </w:rPr>
        <w:t>Equity and Other Compensation Plans</w:t>
      </w:r>
    </w:p>
    <w:p>
      <w:pPr>
        <w:spacing w:after="0" w:line="140" w:lineRule="exact"/>
        <w:rPr>
          <w:sz w:val="20"/>
          <w:szCs w:val="20"/>
          <w:color w:val="auto"/>
        </w:rPr>
      </w:pPr>
    </w:p>
    <w:p>
      <w:pPr>
        <w:ind w:left="1100" w:right="360" w:hanging="1107"/>
        <w:spacing w:after="0" w:line="289" w:lineRule="auto"/>
        <w:tabs>
          <w:tab w:leader="none" w:pos="1080" w:val="left"/>
        </w:tabs>
        <w:rPr>
          <w:sz w:val="20"/>
          <w:szCs w:val="20"/>
          <w:color w:val="auto"/>
        </w:rPr>
      </w:pPr>
      <w:r>
        <w:rPr>
          <w:rFonts w:ascii="Times New Roman" w:cs="Times New Roman" w:eastAsia="Times New Roman" w:hAnsi="Times New Roman"/>
          <w:sz w:val="19"/>
          <w:szCs w:val="19"/>
          <w:color w:val="231F20"/>
        </w:rPr>
        <w:t>10.12+</w:t>
      </w:r>
      <w:r>
        <w:rPr>
          <w:sz w:val="20"/>
          <w:szCs w:val="20"/>
          <w:color w:val="auto"/>
        </w:rPr>
        <w:tab/>
      </w:r>
      <w:r>
        <w:rPr>
          <w:rFonts w:ascii="Times New Roman" w:cs="Times New Roman" w:eastAsia="Times New Roman" w:hAnsi="Times New Roman"/>
          <w:sz w:val="19"/>
          <w:szCs w:val="19"/>
          <w:color w:val="231F20"/>
        </w:rPr>
        <w:t>Wave Life Sciences Ltd. 2014 Equity Incentive Plan, as amended (the “2014 Equity Plan”)</w:t>
      </w:r>
    </w:p>
    <w:p>
      <w:pPr>
        <w:spacing w:after="0" w:line="53" w:lineRule="exact"/>
        <w:rPr>
          <w:sz w:val="20"/>
          <w:szCs w:val="20"/>
          <w:color w:val="auto"/>
        </w:rPr>
      </w:pPr>
    </w:p>
    <w:p>
      <w:pPr>
        <w:ind w:left="1100" w:right="480" w:hanging="1107"/>
        <w:spacing w:after="0" w:line="267" w:lineRule="auto"/>
        <w:tabs>
          <w:tab w:leader="none" w:pos="1080" w:val="left"/>
        </w:tabs>
        <w:rPr>
          <w:sz w:val="20"/>
          <w:szCs w:val="20"/>
          <w:color w:val="auto"/>
        </w:rPr>
      </w:pPr>
      <w:r>
        <w:rPr>
          <w:rFonts w:ascii="Times New Roman" w:cs="Times New Roman" w:eastAsia="Times New Roman" w:hAnsi="Times New Roman"/>
          <w:sz w:val="19"/>
          <w:szCs w:val="19"/>
          <w:color w:val="231F20"/>
        </w:rPr>
        <w:t>10.13+</w:t>
      </w:r>
      <w:r>
        <w:rPr>
          <w:sz w:val="20"/>
          <w:szCs w:val="20"/>
          <w:color w:val="auto"/>
        </w:rPr>
        <w:tab/>
      </w:r>
      <w:r>
        <w:rPr>
          <w:rFonts w:ascii="Times New Roman" w:cs="Times New Roman" w:eastAsia="Times New Roman" w:hAnsi="Times New Roman"/>
          <w:sz w:val="19"/>
          <w:szCs w:val="19"/>
          <w:color w:val="231F20"/>
        </w:rPr>
        <w:t>Wave Life Sciences Ltd. 2021 Equity Plan, as amended, (the “2021 Equity Plan”) effective August 5, 2025</w:t>
      </w:r>
    </w:p>
    <w:p>
      <w:pPr>
        <w:spacing w:after="0" w:line="74" w:lineRule="exact"/>
        <w:rPr>
          <w:sz w:val="20"/>
          <w:szCs w:val="20"/>
          <w:color w:val="auto"/>
        </w:rPr>
      </w:pPr>
    </w:p>
    <w:p>
      <w:pPr>
        <w:ind w:left="1100" w:right="380" w:hanging="1107"/>
        <w:spacing w:after="0" w:line="267" w:lineRule="auto"/>
        <w:tabs>
          <w:tab w:leader="none" w:pos="1080" w:val="left"/>
        </w:tabs>
        <w:rPr>
          <w:sz w:val="20"/>
          <w:szCs w:val="20"/>
          <w:color w:val="auto"/>
        </w:rPr>
      </w:pPr>
      <w:r>
        <w:rPr>
          <w:rFonts w:ascii="Times New Roman" w:cs="Times New Roman" w:eastAsia="Times New Roman" w:hAnsi="Times New Roman"/>
          <w:sz w:val="19"/>
          <w:szCs w:val="19"/>
          <w:color w:val="231F20"/>
        </w:rPr>
        <w:t>10.14+</w:t>
      </w:r>
      <w:r>
        <w:rPr>
          <w:sz w:val="20"/>
          <w:szCs w:val="20"/>
          <w:color w:val="auto"/>
        </w:rPr>
        <w:tab/>
      </w:r>
      <w:r>
        <w:rPr>
          <w:rFonts w:ascii="Times New Roman" w:cs="Times New Roman" w:eastAsia="Times New Roman" w:hAnsi="Times New Roman"/>
          <w:sz w:val="19"/>
          <w:szCs w:val="19"/>
          <w:color w:val="231F20"/>
        </w:rPr>
        <w:t>Wave Life Sciences Ltd. 2019 Employee Share Purchase Plan, as amended, effective as of August 1, 2023</w:t>
      </w:r>
    </w:p>
    <w:p>
      <w:pPr>
        <w:spacing w:after="0" w:line="74" w:lineRule="exact"/>
        <w:rPr>
          <w:sz w:val="20"/>
          <w:szCs w:val="20"/>
          <w:color w:val="auto"/>
        </w:rPr>
      </w:pPr>
    </w:p>
    <w:p>
      <w:pPr>
        <w:ind w:left="1100" w:right="300" w:hanging="1107"/>
        <w:spacing w:after="0" w:line="267" w:lineRule="auto"/>
        <w:tabs>
          <w:tab w:leader="none" w:pos="1080" w:val="left"/>
        </w:tabs>
        <w:rPr>
          <w:sz w:val="20"/>
          <w:szCs w:val="20"/>
          <w:color w:val="auto"/>
        </w:rPr>
      </w:pPr>
      <w:r>
        <w:rPr>
          <w:rFonts w:ascii="Times New Roman" w:cs="Times New Roman" w:eastAsia="Times New Roman" w:hAnsi="Times New Roman"/>
          <w:sz w:val="19"/>
          <w:szCs w:val="19"/>
          <w:color w:val="231F20"/>
        </w:rPr>
        <w:t>10.15.1+</w:t>
      </w:r>
      <w:r>
        <w:rPr>
          <w:sz w:val="20"/>
          <w:szCs w:val="20"/>
          <w:color w:val="auto"/>
        </w:rPr>
        <w:tab/>
      </w:r>
      <w:r>
        <w:rPr>
          <w:rFonts w:ascii="Times New Roman" w:cs="Times New Roman" w:eastAsia="Times New Roman" w:hAnsi="Times New Roman"/>
          <w:sz w:val="19"/>
          <w:szCs w:val="19"/>
          <w:color w:val="231F20"/>
        </w:rPr>
        <w:t>Form of Non-qualified Share Option Agreement under the 2014 Equity Plan, effective as of September 20, 2016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8-K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01/06/2017</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8-K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01/06/2017</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94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03/23/2023</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10.3)</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080"/>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03/23/2023</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10.4)</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633"/>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03/23/2023</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10.5)</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94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w w:val="99"/>
              </w:rPr>
              <w:t>Form S-1</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10/09/2015</w:t>
            </w: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9"/>
                <w:szCs w:val="19"/>
                <w:color w:val="231F20"/>
              </w:rPr>
              <w:t>333-207379</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10.11)</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10-Q</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08/10/2020</w:t>
            </w: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9"/>
                <w:szCs w:val="19"/>
                <w:color w:val="231F20"/>
              </w:rPr>
              <w:t>333-207379</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10-Q</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08/10/2020</w:t>
            </w: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9"/>
                <w:szCs w:val="19"/>
                <w:color w:val="231F20"/>
              </w:rPr>
              <w:t>333-207379</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10.2)</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03/23/2023</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10.12)</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3"/>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03/04/2021</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10.15)</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10-Q</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11/10/2025</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680"/>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10-Q</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11/09/2017</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22"/>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8-K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08/11/2025</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10.1)</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8-K</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08/07/2023</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10.2)</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Form 10-Q</w:t>
            </w:r>
          </w:p>
        </w:tc>
        <w:tc>
          <w:tcPr>
            <w:tcW w:w="16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11/09/2017</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620" w:type="dxa"/>
            <w:vAlign w:val="bottom"/>
          </w:tcPr>
          <w:p>
            <w:pPr>
              <w:jc w:val="center"/>
              <w:ind w:right="323"/>
              <w:spacing w:after="0"/>
              <w:rPr>
                <w:sz w:val="20"/>
                <w:szCs w:val="20"/>
                <w:color w:val="auto"/>
              </w:rPr>
            </w:pPr>
            <w:r>
              <w:rPr>
                <w:rFonts w:ascii="Times New Roman" w:cs="Times New Roman" w:eastAsia="Times New Roman" w:hAnsi="Times New Roman"/>
                <w:sz w:val="19"/>
                <w:szCs w:val="19"/>
                <w:color w:val="231F20"/>
              </w:rPr>
              <w:t>(Exhibit 10.2)</w:t>
            </w: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sectPr>
          <w:pgSz w:w="11880" w:h="15480" w:orient="portrait"/>
          <w:cols w:equalWidth="0" w:num="2">
            <w:col w:w="5160" w:space="720"/>
            <w:col w:w="4480"/>
          </w:cols>
          <w:pgMar w:left="700" w:top="963" w:right="820" w:bottom="642" w:gutter="0" w:footer="0" w:header="0"/>
        </w:sectPr>
      </w:pPr>
    </w:p>
    <w:bookmarkStart w:id="99" w:name="page100"/>
    <w:bookmarkEnd w:id="99"/>
    <w:p>
      <w:pPr>
        <w:ind w:left="360" w:right="240" w:hanging="1107"/>
        <w:spacing w:after="0" w:line="266" w:lineRule="auto"/>
        <w:tabs>
          <w:tab w:leader="none" w:pos="340" w:val="left"/>
        </w:tabs>
        <w:rPr>
          <w:sz w:val="20"/>
          <w:szCs w:val="20"/>
          <w:color w:val="auto"/>
        </w:rPr>
      </w:pPr>
      <w:r>
        <w:rPr>
          <w:rFonts w:ascii="Times New Roman" w:cs="Times New Roman" w:eastAsia="Times New Roman" w:hAnsi="Times New Roman"/>
          <w:sz w:val="19"/>
          <w:szCs w:val="19"/>
          <w:color w:val="231F20"/>
        </w:rPr>
        <w:t>10.15.2+</w:t>
      </w:r>
      <w:r>
        <w:rPr>
          <w:sz w:val="20"/>
          <w:szCs w:val="20"/>
          <w:color w:val="auto"/>
        </w:rPr>
        <w:tab/>
      </w:r>
      <w:r>
        <w:rPr>
          <w:rFonts w:ascii="Times New Roman" w:cs="Times New Roman" w:eastAsia="Times New Roman" w:hAnsi="Times New Roman"/>
          <w:sz w:val="19"/>
          <w:szCs w:val="19"/>
          <w:color w:val="231F20"/>
        </w:rPr>
        <w:t>Form of Non-qualified Share Option Agreement under the 2014 Equity Plan, effective as of January 1, 2018</w:t>
      </w:r>
    </w:p>
    <w:p>
      <w:pPr>
        <w:spacing w:after="0" w:line="77" w:lineRule="exact"/>
        <w:rPr>
          <w:sz w:val="20"/>
          <w:szCs w:val="20"/>
          <w:color w:val="auto"/>
        </w:rPr>
      </w:pPr>
    </w:p>
    <w:p>
      <w:pPr>
        <w:jc w:val="both"/>
        <w:ind w:left="360" w:right="240" w:hanging="1107"/>
        <w:spacing w:after="0" w:line="266" w:lineRule="auto"/>
        <w:tabs>
          <w:tab w:leader="none" w:pos="340" w:val="left"/>
        </w:tabs>
        <w:rPr>
          <w:sz w:val="20"/>
          <w:szCs w:val="20"/>
          <w:color w:val="auto"/>
        </w:rPr>
      </w:pPr>
      <w:r>
        <w:rPr>
          <w:rFonts w:ascii="Times New Roman" w:cs="Times New Roman" w:eastAsia="Times New Roman" w:hAnsi="Times New Roman"/>
          <w:sz w:val="19"/>
          <w:szCs w:val="19"/>
          <w:color w:val="231F20"/>
        </w:rPr>
        <w:t>10.15.3+</w:t>
      </w:r>
      <w:r>
        <w:rPr>
          <w:sz w:val="20"/>
          <w:szCs w:val="20"/>
          <w:color w:val="auto"/>
        </w:rPr>
        <w:tab/>
      </w:r>
      <w:r>
        <w:rPr>
          <w:rFonts w:ascii="Times New Roman" w:cs="Times New Roman" w:eastAsia="Times New Roman" w:hAnsi="Times New Roman"/>
          <w:sz w:val="19"/>
          <w:szCs w:val="19"/>
          <w:color w:val="231F20"/>
        </w:rPr>
        <w:t>Form of Non-qualified Share Option Agreement under the 2021 Equity Plan, effective as August 10, 2021</w:t>
      </w:r>
    </w:p>
    <w:p>
      <w:pPr>
        <w:spacing w:after="0" w:line="77" w:lineRule="exact"/>
        <w:rPr>
          <w:sz w:val="20"/>
          <w:szCs w:val="20"/>
          <w:color w:val="auto"/>
        </w:rPr>
      </w:pPr>
    </w:p>
    <w:p>
      <w:pPr>
        <w:jc w:val="both"/>
        <w:ind w:left="360" w:right="600" w:hanging="1107"/>
        <w:spacing w:after="0" w:line="266" w:lineRule="auto"/>
        <w:tabs>
          <w:tab w:leader="none" w:pos="340" w:val="left"/>
        </w:tabs>
        <w:rPr>
          <w:sz w:val="20"/>
          <w:szCs w:val="20"/>
          <w:color w:val="auto"/>
        </w:rPr>
      </w:pPr>
      <w:r>
        <w:rPr>
          <w:rFonts w:ascii="Times New Roman" w:cs="Times New Roman" w:eastAsia="Times New Roman" w:hAnsi="Times New Roman"/>
          <w:sz w:val="19"/>
          <w:szCs w:val="19"/>
          <w:color w:val="231F20"/>
        </w:rPr>
        <w:t>10.16.1+</w:t>
      </w:r>
      <w:r>
        <w:rPr>
          <w:sz w:val="20"/>
          <w:szCs w:val="20"/>
          <w:color w:val="auto"/>
        </w:rPr>
        <w:tab/>
      </w:r>
      <w:r>
        <w:rPr>
          <w:rFonts w:ascii="Times New Roman" w:cs="Times New Roman" w:eastAsia="Times New Roman" w:hAnsi="Times New Roman"/>
          <w:sz w:val="19"/>
          <w:szCs w:val="19"/>
          <w:color w:val="231F20"/>
        </w:rPr>
        <w:t>Form of Incentive Share Option Agreement under the 2014 Equity Plan, effective as of December 2014</w:t>
      </w:r>
    </w:p>
    <w:p>
      <w:pPr>
        <w:spacing w:after="0" w:line="77" w:lineRule="exact"/>
        <w:rPr>
          <w:sz w:val="20"/>
          <w:szCs w:val="20"/>
          <w:color w:val="auto"/>
        </w:rPr>
      </w:pPr>
    </w:p>
    <w:p>
      <w:pPr>
        <w:jc w:val="both"/>
        <w:ind w:left="360" w:right="600" w:hanging="1107"/>
        <w:spacing w:after="0" w:line="266" w:lineRule="auto"/>
        <w:tabs>
          <w:tab w:leader="none" w:pos="340" w:val="left"/>
        </w:tabs>
        <w:rPr>
          <w:sz w:val="20"/>
          <w:szCs w:val="20"/>
          <w:color w:val="auto"/>
        </w:rPr>
      </w:pPr>
      <w:r>
        <w:rPr>
          <w:rFonts w:ascii="Times New Roman" w:cs="Times New Roman" w:eastAsia="Times New Roman" w:hAnsi="Times New Roman"/>
          <w:sz w:val="19"/>
          <w:szCs w:val="19"/>
          <w:color w:val="231F20"/>
        </w:rPr>
        <w:t>10.16.2+</w:t>
      </w:r>
      <w:r>
        <w:rPr>
          <w:sz w:val="20"/>
          <w:szCs w:val="20"/>
          <w:color w:val="auto"/>
        </w:rPr>
        <w:tab/>
      </w:r>
      <w:r>
        <w:rPr>
          <w:rFonts w:ascii="Times New Roman" w:cs="Times New Roman" w:eastAsia="Times New Roman" w:hAnsi="Times New Roman"/>
          <w:sz w:val="19"/>
          <w:szCs w:val="19"/>
          <w:color w:val="231F20"/>
        </w:rPr>
        <w:t>Form of Incentive Share Option Agreement under the 2014 Equity Plan, effective as of September 20, 2016</w:t>
      </w:r>
    </w:p>
    <w:p>
      <w:pPr>
        <w:spacing w:after="0" w:line="77" w:lineRule="exact"/>
        <w:rPr>
          <w:sz w:val="20"/>
          <w:szCs w:val="20"/>
          <w:color w:val="auto"/>
        </w:rPr>
      </w:pPr>
    </w:p>
    <w:p>
      <w:pPr>
        <w:ind w:left="360" w:right="240" w:hanging="1107"/>
        <w:spacing w:after="0" w:line="266" w:lineRule="auto"/>
        <w:tabs>
          <w:tab w:leader="none" w:pos="340" w:val="left"/>
        </w:tabs>
        <w:rPr>
          <w:sz w:val="20"/>
          <w:szCs w:val="20"/>
          <w:color w:val="auto"/>
        </w:rPr>
      </w:pPr>
      <w:r>
        <w:rPr>
          <w:rFonts w:ascii="Times New Roman" w:cs="Times New Roman" w:eastAsia="Times New Roman" w:hAnsi="Times New Roman"/>
          <w:sz w:val="19"/>
          <w:szCs w:val="19"/>
          <w:color w:val="231F20"/>
        </w:rPr>
        <w:t>10.17.1+</w:t>
      </w:r>
      <w:r>
        <w:rPr>
          <w:sz w:val="20"/>
          <w:szCs w:val="20"/>
          <w:color w:val="auto"/>
        </w:rPr>
        <w:tab/>
      </w:r>
      <w:r>
        <w:rPr>
          <w:rFonts w:ascii="Times New Roman" w:cs="Times New Roman" w:eastAsia="Times New Roman" w:hAnsi="Times New Roman"/>
          <w:sz w:val="19"/>
          <w:szCs w:val="19"/>
          <w:color w:val="231F20"/>
        </w:rPr>
        <w:t>Form of Restricted Share Unit Agreement under the 2014 Equity Plan, effective as of June 16, 2016</w:t>
      </w:r>
    </w:p>
    <w:p>
      <w:pPr>
        <w:spacing w:after="0" w:line="77" w:lineRule="exact"/>
        <w:rPr>
          <w:sz w:val="20"/>
          <w:szCs w:val="20"/>
          <w:color w:val="auto"/>
        </w:rPr>
      </w:pPr>
    </w:p>
    <w:p>
      <w:pPr>
        <w:jc w:val="both"/>
        <w:ind w:left="360" w:right="240" w:hanging="1107"/>
        <w:spacing w:after="0" w:line="266" w:lineRule="auto"/>
        <w:tabs>
          <w:tab w:leader="none" w:pos="340" w:val="left"/>
        </w:tabs>
        <w:rPr>
          <w:sz w:val="20"/>
          <w:szCs w:val="20"/>
          <w:color w:val="auto"/>
        </w:rPr>
      </w:pPr>
      <w:r>
        <w:rPr>
          <w:rFonts w:ascii="Times New Roman" w:cs="Times New Roman" w:eastAsia="Times New Roman" w:hAnsi="Times New Roman"/>
          <w:sz w:val="19"/>
          <w:szCs w:val="19"/>
          <w:color w:val="231F20"/>
        </w:rPr>
        <w:t>10.17.2+</w:t>
      </w:r>
      <w:r>
        <w:rPr>
          <w:sz w:val="20"/>
          <w:szCs w:val="20"/>
          <w:color w:val="auto"/>
        </w:rPr>
        <w:tab/>
      </w:r>
      <w:r>
        <w:rPr>
          <w:rFonts w:ascii="Times New Roman" w:cs="Times New Roman" w:eastAsia="Times New Roman" w:hAnsi="Times New Roman"/>
          <w:sz w:val="19"/>
          <w:szCs w:val="19"/>
          <w:color w:val="231F20"/>
        </w:rPr>
        <w:t>Form of Restricted Share Unit Agreement under the 2014 Equity Plan, effective as of January 1, 2018</w:t>
      </w:r>
    </w:p>
    <w:p>
      <w:pPr>
        <w:spacing w:after="0" w:line="74" w:lineRule="exact"/>
        <w:rPr>
          <w:sz w:val="20"/>
          <w:szCs w:val="20"/>
          <w:color w:val="auto"/>
        </w:rPr>
      </w:pPr>
    </w:p>
    <w:p>
      <w:pPr>
        <w:ind w:left="360" w:right="24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10.17.3+</w:t>
      </w:r>
      <w:r>
        <w:rPr>
          <w:sz w:val="20"/>
          <w:szCs w:val="20"/>
          <w:color w:val="auto"/>
        </w:rPr>
        <w:tab/>
      </w:r>
      <w:r>
        <w:rPr>
          <w:rFonts w:ascii="Times New Roman" w:cs="Times New Roman" w:eastAsia="Times New Roman" w:hAnsi="Times New Roman"/>
          <w:sz w:val="19"/>
          <w:szCs w:val="19"/>
          <w:color w:val="231F20"/>
        </w:rPr>
        <w:t>Form of Restricted Share Unit Agreement under the 2014 Equity Incentive Plan, effective as of January 1, 2019</w:t>
      </w:r>
    </w:p>
    <w:p>
      <w:pPr>
        <w:spacing w:after="0" w:line="74" w:lineRule="exact"/>
        <w:rPr>
          <w:sz w:val="20"/>
          <w:szCs w:val="20"/>
          <w:color w:val="auto"/>
        </w:rPr>
      </w:pPr>
    </w:p>
    <w:p>
      <w:pPr>
        <w:jc w:val="both"/>
        <w:ind w:left="360" w:right="24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10.17.4+</w:t>
      </w:r>
      <w:r>
        <w:rPr>
          <w:sz w:val="20"/>
          <w:szCs w:val="20"/>
          <w:color w:val="auto"/>
        </w:rPr>
        <w:tab/>
      </w:r>
      <w:r>
        <w:rPr>
          <w:rFonts w:ascii="Times New Roman" w:cs="Times New Roman" w:eastAsia="Times New Roman" w:hAnsi="Times New Roman"/>
          <w:sz w:val="19"/>
          <w:szCs w:val="19"/>
          <w:color w:val="231F20"/>
        </w:rPr>
        <w:t>Form of Restricted Share Unit Agreement under the 2021 Equity Plan, effective as of August 10, 2021</w:t>
      </w:r>
    </w:p>
    <w:p>
      <w:pPr>
        <w:spacing w:after="0" w:line="74" w:lineRule="exact"/>
        <w:rPr>
          <w:sz w:val="20"/>
          <w:szCs w:val="20"/>
          <w:color w:val="auto"/>
        </w:rPr>
      </w:pPr>
    </w:p>
    <w:p>
      <w:pPr>
        <w:ind w:left="360" w:right="580" w:hanging="1107"/>
        <w:spacing w:after="0" w:line="260" w:lineRule="auto"/>
        <w:tabs>
          <w:tab w:leader="none" w:pos="340" w:val="left"/>
        </w:tabs>
        <w:rPr>
          <w:sz w:val="20"/>
          <w:szCs w:val="20"/>
          <w:color w:val="auto"/>
        </w:rPr>
      </w:pPr>
      <w:r>
        <w:rPr>
          <w:rFonts w:ascii="Times New Roman" w:cs="Times New Roman" w:eastAsia="Times New Roman" w:hAnsi="Times New Roman"/>
          <w:sz w:val="19"/>
          <w:szCs w:val="19"/>
          <w:color w:val="231F20"/>
        </w:rPr>
        <w:t>10.17.5+</w:t>
      </w:r>
      <w:r>
        <w:rPr>
          <w:sz w:val="20"/>
          <w:szCs w:val="20"/>
          <w:color w:val="auto"/>
        </w:rPr>
        <w:tab/>
      </w:r>
      <w:r>
        <w:rPr>
          <w:rFonts w:ascii="Times New Roman" w:cs="Times New Roman" w:eastAsia="Times New Roman" w:hAnsi="Times New Roman"/>
          <w:sz w:val="19"/>
          <w:szCs w:val="19"/>
          <w:color w:val="231F20"/>
        </w:rPr>
        <w:t>Form of Amended and Restated 2019 Performance-Based Restricted Share Unit Agreement under the 2014 Equity Incentive Plan, effective as of March 17, 2021</w:t>
      </w:r>
    </w:p>
    <w:p>
      <w:pPr>
        <w:spacing w:after="0" w:line="80" w:lineRule="exact"/>
        <w:rPr>
          <w:sz w:val="20"/>
          <w:szCs w:val="20"/>
          <w:color w:val="auto"/>
        </w:rPr>
      </w:pPr>
    </w:p>
    <w:p>
      <w:pPr>
        <w:jc w:val="both"/>
        <w:ind w:left="360" w:right="40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10.17.6+</w:t>
      </w:r>
      <w:r>
        <w:rPr>
          <w:sz w:val="20"/>
          <w:szCs w:val="20"/>
          <w:color w:val="auto"/>
        </w:rPr>
        <w:tab/>
      </w:r>
      <w:r>
        <w:rPr>
          <w:rFonts w:ascii="Times New Roman" w:cs="Times New Roman" w:eastAsia="Times New Roman" w:hAnsi="Times New Roman"/>
          <w:sz w:val="19"/>
          <w:szCs w:val="19"/>
          <w:color w:val="231F20"/>
        </w:rPr>
        <w:t>Form of 2021 Performance-Based Restricted Share Unit Agreement under the 2014 Equity Incentive Plan, effective as of March 17, 2021</w:t>
      </w:r>
    </w:p>
    <w:p>
      <w:pPr>
        <w:spacing w:after="0" w:line="74" w:lineRule="exact"/>
        <w:rPr>
          <w:sz w:val="20"/>
          <w:szCs w:val="20"/>
          <w:color w:val="auto"/>
        </w:rPr>
      </w:pPr>
    </w:p>
    <w:p>
      <w:pPr>
        <w:jc w:val="both"/>
        <w:ind w:left="360" w:right="24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10.18.1+</w:t>
      </w:r>
      <w:r>
        <w:rPr>
          <w:sz w:val="20"/>
          <w:szCs w:val="20"/>
          <w:color w:val="auto"/>
        </w:rPr>
        <w:tab/>
      </w:r>
      <w:r>
        <w:rPr>
          <w:rFonts w:ascii="Times New Roman" w:cs="Times New Roman" w:eastAsia="Times New Roman" w:hAnsi="Times New Roman"/>
          <w:sz w:val="19"/>
          <w:szCs w:val="19"/>
          <w:color w:val="231F20"/>
        </w:rPr>
        <w:t>Form of Non-qualified Share Option Agreement for UK Participants under the 2014 Equity Plan, effective as of June 21, 2017</w:t>
      </w:r>
    </w:p>
    <w:p>
      <w:pPr>
        <w:spacing w:after="0" w:line="74" w:lineRule="exact"/>
        <w:rPr>
          <w:sz w:val="20"/>
          <w:szCs w:val="20"/>
          <w:color w:val="auto"/>
        </w:rPr>
      </w:pPr>
    </w:p>
    <w:p>
      <w:pPr>
        <w:jc w:val="both"/>
        <w:ind w:left="360" w:right="24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10.18.2+</w:t>
      </w:r>
      <w:r>
        <w:rPr>
          <w:sz w:val="20"/>
          <w:szCs w:val="20"/>
          <w:color w:val="auto"/>
        </w:rPr>
        <w:tab/>
      </w:r>
      <w:r>
        <w:rPr>
          <w:rFonts w:ascii="Times New Roman" w:cs="Times New Roman" w:eastAsia="Times New Roman" w:hAnsi="Times New Roman"/>
          <w:sz w:val="19"/>
          <w:szCs w:val="19"/>
          <w:color w:val="231F20"/>
        </w:rPr>
        <w:t>Form of Non-qualified Share Option Agreement for UK Participants under the 2014 Equity Plan, effective as of January 1, 2018</w:t>
      </w:r>
    </w:p>
    <w:p>
      <w:pPr>
        <w:spacing w:after="0" w:line="74" w:lineRule="exact"/>
        <w:rPr>
          <w:sz w:val="20"/>
          <w:szCs w:val="20"/>
          <w:color w:val="auto"/>
        </w:rPr>
      </w:pPr>
    </w:p>
    <w:p>
      <w:pPr>
        <w:jc w:val="both"/>
        <w:ind w:left="360" w:right="24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10.18.3+</w:t>
      </w:r>
      <w:r>
        <w:rPr>
          <w:sz w:val="20"/>
          <w:szCs w:val="20"/>
          <w:color w:val="auto"/>
        </w:rPr>
        <w:tab/>
      </w:r>
      <w:r>
        <w:rPr>
          <w:rFonts w:ascii="Times New Roman" w:cs="Times New Roman" w:eastAsia="Times New Roman" w:hAnsi="Times New Roman"/>
          <w:sz w:val="19"/>
          <w:szCs w:val="19"/>
          <w:color w:val="231F20"/>
        </w:rPr>
        <w:t>Form of Non-qualified Share Option Agreement for UK Participants under the 2021 Equity Plan, effective as of August 10, 2021</w:t>
      </w:r>
    </w:p>
    <w:p>
      <w:pPr>
        <w:spacing w:after="0" w:line="74" w:lineRule="exact"/>
        <w:rPr>
          <w:sz w:val="20"/>
          <w:szCs w:val="20"/>
          <w:color w:val="auto"/>
        </w:rPr>
      </w:pPr>
    </w:p>
    <w:p>
      <w:pPr>
        <w:jc w:val="both"/>
        <w:ind w:left="360" w:right="46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10.18.4+</w:t>
      </w:r>
      <w:r>
        <w:rPr>
          <w:sz w:val="20"/>
          <w:szCs w:val="20"/>
          <w:color w:val="auto"/>
        </w:rPr>
        <w:tab/>
      </w:r>
      <w:r>
        <w:rPr>
          <w:rFonts w:ascii="Times New Roman" w:cs="Times New Roman" w:eastAsia="Times New Roman" w:hAnsi="Times New Roman"/>
          <w:sz w:val="19"/>
          <w:szCs w:val="19"/>
          <w:color w:val="231F20"/>
        </w:rPr>
        <w:t>Form of Restricted Share Unit Agreement for UK Participants under the 2021 Equity Plan, effective as of August 10, 2021</w:t>
      </w:r>
    </w:p>
    <w:p>
      <w:pPr>
        <w:spacing w:after="0" w:line="74" w:lineRule="exact"/>
        <w:rPr>
          <w:sz w:val="20"/>
          <w:szCs w:val="20"/>
          <w:color w:val="auto"/>
        </w:rPr>
      </w:pPr>
    </w:p>
    <w:p>
      <w:pPr>
        <w:ind w:left="360" w:right="760" w:hanging="1107"/>
        <w:spacing w:after="0" w:line="289" w:lineRule="auto"/>
        <w:tabs>
          <w:tab w:leader="none" w:pos="340" w:val="left"/>
        </w:tabs>
        <w:rPr>
          <w:sz w:val="20"/>
          <w:szCs w:val="20"/>
          <w:color w:val="auto"/>
        </w:rPr>
      </w:pPr>
      <w:r>
        <w:rPr>
          <w:rFonts w:ascii="Times New Roman" w:cs="Times New Roman" w:eastAsia="Times New Roman" w:hAnsi="Times New Roman"/>
          <w:sz w:val="19"/>
          <w:szCs w:val="19"/>
          <w:color w:val="231F20"/>
        </w:rPr>
        <w:t>10.19.1+</w:t>
      </w:r>
      <w:r>
        <w:rPr>
          <w:sz w:val="20"/>
          <w:szCs w:val="20"/>
          <w:color w:val="auto"/>
        </w:rPr>
        <w:tab/>
      </w:r>
      <w:r>
        <w:rPr>
          <w:rFonts w:ascii="Times New Roman" w:cs="Times New Roman" w:eastAsia="Times New Roman" w:hAnsi="Times New Roman"/>
          <w:sz w:val="19"/>
          <w:szCs w:val="19"/>
          <w:color w:val="231F20"/>
        </w:rPr>
        <w:t>Form of Inducement Non-qualified Share Option Agreement, effective May 2024</w:t>
      </w:r>
    </w:p>
    <w:p>
      <w:pPr>
        <w:spacing w:after="0" w:line="53" w:lineRule="exact"/>
        <w:rPr>
          <w:sz w:val="20"/>
          <w:szCs w:val="20"/>
          <w:color w:val="auto"/>
        </w:rPr>
      </w:pPr>
    </w:p>
    <w:p>
      <w:pPr>
        <w:ind w:left="360" w:right="680" w:hanging="1107"/>
        <w:spacing w:after="0" w:line="289" w:lineRule="auto"/>
        <w:tabs>
          <w:tab w:leader="none" w:pos="340" w:val="left"/>
        </w:tabs>
        <w:rPr>
          <w:sz w:val="20"/>
          <w:szCs w:val="20"/>
          <w:color w:val="auto"/>
        </w:rPr>
      </w:pPr>
      <w:r>
        <w:rPr>
          <w:rFonts w:ascii="Times New Roman" w:cs="Times New Roman" w:eastAsia="Times New Roman" w:hAnsi="Times New Roman"/>
          <w:sz w:val="19"/>
          <w:szCs w:val="19"/>
          <w:color w:val="231F20"/>
        </w:rPr>
        <w:t>10.19.2+</w:t>
      </w:r>
      <w:r>
        <w:rPr>
          <w:sz w:val="20"/>
          <w:szCs w:val="20"/>
          <w:color w:val="auto"/>
        </w:rPr>
        <w:tab/>
      </w:r>
      <w:r>
        <w:rPr>
          <w:rFonts w:ascii="Times New Roman" w:cs="Times New Roman" w:eastAsia="Times New Roman" w:hAnsi="Times New Roman"/>
          <w:sz w:val="19"/>
          <w:szCs w:val="19"/>
          <w:color w:val="231F20"/>
        </w:rPr>
        <w:t>Form of Inducement Restricted Share Unit Agreement, effective May 2024</w:t>
      </w:r>
    </w:p>
    <w:p>
      <w:pPr>
        <w:spacing w:after="0" w:line="54" w:lineRule="exact"/>
        <w:rPr>
          <w:sz w:val="20"/>
          <w:szCs w:val="20"/>
          <w:color w:val="auto"/>
        </w:rPr>
      </w:pPr>
    </w:p>
    <w:p>
      <w:pPr>
        <w:ind w:left="360" w:right="320" w:hanging="1107"/>
        <w:spacing w:after="0" w:line="267" w:lineRule="auto"/>
        <w:tabs>
          <w:tab w:leader="none" w:pos="340" w:val="left"/>
        </w:tabs>
        <w:rPr>
          <w:sz w:val="20"/>
          <w:szCs w:val="20"/>
          <w:color w:val="auto"/>
        </w:rPr>
      </w:pPr>
      <w:r>
        <w:rPr>
          <w:rFonts w:ascii="Times New Roman" w:cs="Times New Roman" w:eastAsia="Times New Roman" w:hAnsi="Times New Roman"/>
          <w:sz w:val="19"/>
          <w:szCs w:val="19"/>
          <w:color w:val="231F20"/>
        </w:rPr>
        <w:t>10.20.1</w:t>
      </w:r>
      <w:r>
        <w:rPr>
          <w:sz w:val="20"/>
          <w:szCs w:val="20"/>
          <w:color w:val="auto"/>
        </w:rPr>
        <w:tab/>
      </w:r>
      <w:r>
        <w:rPr>
          <w:rFonts w:ascii="Times New Roman" w:cs="Times New Roman" w:eastAsia="Times New Roman" w:hAnsi="Times New Roman"/>
          <w:sz w:val="19"/>
          <w:szCs w:val="19"/>
          <w:color w:val="231F20"/>
        </w:rPr>
        <w:t>Open Market Sale Agreement, dated as of May 10, 2019, by and between the Registrant and Jefferies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10-K</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03/01/2019</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10.23.3)</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10-K</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11/10/2021</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10.3)</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w w:val="99"/>
              </w:rPr>
              <w:t>Form S-8</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12/17/2015</w:t>
            </w: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9"/>
                <w:szCs w:val="19"/>
                <w:color w:val="231F20"/>
              </w:rPr>
              <w:t>333-208598</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10.1)</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11/09/2017</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10.3)</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11/09/2017</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10.4)</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10-K</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03/01/2019</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10.25.2)</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05/10/2019</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10.1)</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11/10/2021</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10.4)</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05/13/2021</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10.2)</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76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05/13/2021</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10.3)</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11/09/2017</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10.5)</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10-K</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03/01/2019</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10.26.2)</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11/10/2021</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10.5)</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11/10/2021</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10.6)</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545"/>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08/08/2024</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10.1)</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22"/>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10-Q</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08/08/2024</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10.2)</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22"/>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Form S-3ASR</w:t>
            </w:r>
          </w:p>
        </w:tc>
        <w:tc>
          <w:tcPr>
            <w:tcW w:w="158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05/10/2019</w:t>
            </w: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9"/>
                <w:szCs w:val="19"/>
                <w:color w:val="231F20"/>
              </w:rPr>
              <w:t>333-231382</w:t>
            </w:r>
          </w:p>
        </w:tc>
      </w:tr>
      <w:tr>
        <w:trPr>
          <w:trHeight w:val="258"/>
        </w:trPr>
        <w:tc>
          <w:tcPr>
            <w:tcW w:w="1700" w:type="dxa"/>
            <w:vAlign w:val="bottom"/>
          </w:tcPr>
          <w:p>
            <w:pPr>
              <w:jc w:val="center"/>
              <w:ind w:right="283"/>
              <w:spacing w:after="0"/>
              <w:rPr>
                <w:sz w:val="20"/>
                <w:szCs w:val="20"/>
                <w:color w:val="auto"/>
              </w:rPr>
            </w:pPr>
            <w:r>
              <w:rPr>
                <w:rFonts w:ascii="Times New Roman" w:cs="Times New Roman" w:eastAsia="Times New Roman" w:hAnsi="Times New Roman"/>
                <w:sz w:val="19"/>
                <w:szCs w:val="19"/>
                <w:color w:val="231F20"/>
              </w:rPr>
              <w:t>(Exhibit 1.2)</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sectPr>
          <w:pgSz w:w="11880" w:h="15480" w:orient="portrait"/>
          <w:cols w:equalWidth="0" w:num="2">
            <w:col w:w="4360" w:space="720"/>
            <w:col w:w="4540"/>
          </w:cols>
          <w:pgMar w:left="1440" w:top="963" w:right="820" w:bottom="598"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31F20"/>
              </w:rPr>
              <w:t>10.20.2</w:t>
            </w: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Amendment No. 1 to Open Market Sale</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POSASR</w:t>
            </w:r>
          </w:p>
        </w:tc>
        <w:tc>
          <w:tcPr>
            <w:tcW w:w="16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03/02/2020</w:t>
            </w: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9"/>
                <w:szCs w:val="19"/>
                <w:color w:val="231F20"/>
              </w:rPr>
              <w:t>333-231382</w:t>
            </w:r>
          </w:p>
        </w:tc>
      </w:tr>
      <w:tr>
        <w:trPr>
          <w:trHeight w:val="223"/>
        </w:trPr>
        <w:tc>
          <w:tcPr>
            <w:tcW w:w="840" w:type="dxa"/>
            <w:vAlign w:val="bottom"/>
          </w:tcPr>
          <w:p>
            <w:pPr>
              <w:spacing w:after="0"/>
              <w:rPr>
                <w:sz w:val="19"/>
                <w:szCs w:val="19"/>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Agreement, dated as of March 2, 2020, by and</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(Exhibit 1.3)</w:t>
            </w: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between the Registrant and Jefferies LLC</w:t>
            </w:r>
          </w:p>
        </w:tc>
        <w:tc>
          <w:tcPr>
            <w:tcW w:w="20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2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31F20"/>
              </w:rPr>
              <w:t>10.20.3</w:t>
            </w: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Amendment No. 2, dated March 3, 2022, to the</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Form 8-K</w:t>
            </w:r>
          </w:p>
        </w:tc>
        <w:tc>
          <w:tcPr>
            <w:tcW w:w="16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03/03/2022</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23"/>
        </w:trPr>
        <w:tc>
          <w:tcPr>
            <w:tcW w:w="840" w:type="dxa"/>
            <w:vAlign w:val="bottom"/>
          </w:tcPr>
          <w:p>
            <w:pPr>
              <w:spacing w:after="0"/>
              <w:rPr>
                <w:sz w:val="19"/>
                <w:szCs w:val="19"/>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Open Market Sale Agreement, dated as of May</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(Exhibit 10.1)</w:t>
            </w: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10, 2019, by and between Wave Life Sciences</w:t>
            </w:r>
          </w:p>
        </w:tc>
        <w:tc>
          <w:tcPr>
            <w:tcW w:w="2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Ltd. and Jefferies LLC</w:t>
            </w:r>
          </w:p>
        </w:tc>
        <w:tc>
          <w:tcPr>
            <w:tcW w:w="20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31F20"/>
              </w:rPr>
              <w:t>10.20.4</w:t>
            </w: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Amendment No. 3, dated November 12, 2024,</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Form 10-Q</w:t>
            </w:r>
          </w:p>
        </w:tc>
        <w:tc>
          <w:tcPr>
            <w:tcW w:w="16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11/12/2024</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21"/>
        </w:trPr>
        <w:tc>
          <w:tcPr>
            <w:tcW w:w="840" w:type="dxa"/>
            <w:vAlign w:val="bottom"/>
          </w:tcPr>
          <w:p>
            <w:pPr>
              <w:spacing w:after="0"/>
              <w:rPr>
                <w:sz w:val="19"/>
                <w:szCs w:val="19"/>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to the Open Market Sale Agreement, dated as of</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(Exhibit 10.1)</w:t>
            </w: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May 10, 2019, by and between Wave Life</w:t>
            </w:r>
          </w:p>
        </w:tc>
        <w:tc>
          <w:tcPr>
            <w:tcW w:w="2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Sciences Ltd. and Jefferies LLC</w:t>
            </w:r>
          </w:p>
        </w:tc>
        <w:tc>
          <w:tcPr>
            <w:tcW w:w="20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31F20"/>
              </w:rPr>
              <w:t>19.1</w:t>
            </w: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Insider Trading Policy</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Form 10-K</w:t>
            </w:r>
          </w:p>
        </w:tc>
        <w:tc>
          <w:tcPr>
            <w:tcW w:w="16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03/05/2025</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8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(Exhibit 19.1)</w:t>
            </w:r>
          </w:p>
        </w:tc>
        <w:tc>
          <w:tcPr>
            <w:tcW w:w="16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2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231F20"/>
              </w:rPr>
              <w:t>21.1</w:t>
            </w:r>
          </w:p>
        </w:tc>
        <w:tc>
          <w:tcPr>
            <w:tcW w:w="456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List of Subsidiaries of the Registrant</w:t>
            </w: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Form 10-K</w:t>
            </w:r>
          </w:p>
        </w:tc>
        <w:tc>
          <w:tcPr>
            <w:tcW w:w="16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231F20"/>
              </w:rPr>
              <w:t>03/12/2018</w:t>
            </w:r>
          </w:p>
        </w:tc>
        <w:tc>
          <w:tcPr>
            <w:tcW w:w="1260" w:type="dxa"/>
            <w:vAlign w:val="bottom"/>
          </w:tcPr>
          <w:p>
            <w:pPr>
              <w:jc w:val="center"/>
              <w:ind w:left="243"/>
              <w:spacing w:after="0"/>
              <w:rPr>
                <w:sz w:val="20"/>
                <w:szCs w:val="20"/>
                <w:color w:val="auto"/>
              </w:rPr>
            </w:pPr>
            <w:r>
              <w:rPr>
                <w:rFonts w:ascii="Times New Roman" w:cs="Times New Roman" w:eastAsia="Times New Roman" w:hAnsi="Times New Roman"/>
                <w:sz w:val="19"/>
                <w:szCs w:val="19"/>
                <w:color w:val="231F20"/>
              </w:rPr>
              <w:t>001-37627</w:t>
            </w:r>
          </w:p>
        </w:tc>
      </w:tr>
      <w:tr>
        <w:trPr>
          <w:trHeight w:val="258"/>
        </w:trPr>
        <w:tc>
          <w:tcPr>
            <w:tcW w:w="8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060" w:type="dxa"/>
            <w:vAlign w:val="bottom"/>
          </w:tcPr>
          <w:p>
            <w:pPr>
              <w:jc w:val="center"/>
              <w:ind w:left="3"/>
              <w:spacing w:after="0"/>
              <w:rPr>
                <w:sz w:val="20"/>
                <w:szCs w:val="20"/>
                <w:color w:val="auto"/>
              </w:rPr>
            </w:pPr>
            <w:r>
              <w:rPr>
                <w:rFonts w:ascii="Times New Roman" w:cs="Times New Roman" w:eastAsia="Times New Roman" w:hAnsi="Times New Roman"/>
                <w:sz w:val="19"/>
                <w:szCs w:val="19"/>
                <w:color w:val="231F20"/>
              </w:rPr>
              <w:t>(Exhibit 21.1)</w:t>
            </w:r>
          </w:p>
        </w:tc>
        <w:tc>
          <w:tcPr>
            <w:tcW w:w="164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23.1</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Consent of Independent Registered Public</w:t>
            </w:r>
          </w:p>
        </w:tc>
        <w:tc>
          <w:tcPr>
            <w:tcW w:w="244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Accounting Firm</w:t>
            </w:r>
          </w:p>
        </w:tc>
        <w:tc>
          <w:tcPr>
            <w:tcW w:w="2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24.1</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Power of Attorney (included on signature page</w:t>
            </w:r>
          </w:p>
        </w:tc>
        <w:tc>
          <w:tcPr>
            <w:tcW w:w="244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to this Annual Report on Form 10-K)</w:t>
            </w:r>
          </w:p>
        </w:tc>
        <w:tc>
          <w:tcPr>
            <w:tcW w:w="2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31.1</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Certifications of Principal Executive Officer</w:t>
            </w:r>
          </w:p>
        </w:tc>
        <w:tc>
          <w:tcPr>
            <w:tcW w:w="244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pursuant to Rule 13a-14(a)</w:t>
            </w:r>
          </w:p>
        </w:tc>
        <w:tc>
          <w:tcPr>
            <w:tcW w:w="2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31.2</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Certifications of Principal Financial Officer</w:t>
            </w:r>
          </w:p>
        </w:tc>
        <w:tc>
          <w:tcPr>
            <w:tcW w:w="244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pursuant to Rule 13a-14(a)</w:t>
            </w:r>
          </w:p>
        </w:tc>
        <w:tc>
          <w:tcPr>
            <w:tcW w:w="2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32*</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Certification pursuant to 18 U.S.C. Section</w:t>
            </w:r>
          </w:p>
        </w:tc>
        <w:tc>
          <w:tcPr>
            <w:tcW w:w="244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1350, as adopted pursuant to Section 906 of the</w:t>
            </w:r>
          </w:p>
        </w:tc>
        <w:tc>
          <w:tcPr>
            <w:tcW w:w="2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Sarbanes-Oxley Act of 2002, by Principal</w:t>
            </w:r>
          </w:p>
        </w:tc>
        <w:tc>
          <w:tcPr>
            <w:tcW w:w="2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Executive Officer and Principal Financial</w:t>
            </w:r>
          </w:p>
        </w:tc>
        <w:tc>
          <w:tcPr>
            <w:tcW w:w="2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Officer</w:t>
            </w:r>
          </w:p>
        </w:tc>
        <w:tc>
          <w:tcPr>
            <w:tcW w:w="2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231F20"/>
              </w:rPr>
              <w:t>97.1</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Clawback Policy, effective as of October 2,</w:t>
            </w:r>
          </w:p>
        </w:tc>
        <w:tc>
          <w:tcPr>
            <w:tcW w:w="2440" w:type="dxa"/>
            <w:vAlign w:val="bottom"/>
          </w:tcPr>
          <w:p>
            <w:pPr>
              <w:ind w:left="1020"/>
              <w:spacing w:after="0"/>
              <w:rPr>
                <w:sz w:val="20"/>
                <w:szCs w:val="20"/>
                <w:color w:val="auto"/>
              </w:rPr>
            </w:pPr>
            <w:r>
              <w:rPr>
                <w:rFonts w:ascii="Times New Roman" w:cs="Times New Roman" w:eastAsia="Times New Roman" w:hAnsi="Times New Roman"/>
                <w:sz w:val="19"/>
                <w:szCs w:val="19"/>
                <w:color w:val="231F20"/>
              </w:rPr>
              <w:t>Form 10-K</w:t>
            </w:r>
          </w:p>
        </w:tc>
        <w:tc>
          <w:tcPr>
            <w:tcW w:w="168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231F20"/>
              </w:rPr>
              <w:t>03/06/2024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001-37627</w:t>
            </w: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2023</w:t>
            </w:r>
          </w:p>
        </w:tc>
        <w:tc>
          <w:tcPr>
            <w:tcW w:w="2440" w:type="dxa"/>
            <w:vAlign w:val="bottom"/>
          </w:tcPr>
          <w:p>
            <w:pPr>
              <w:ind w:left="920"/>
              <w:spacing w:after="0"/>
              <w:rPr>
                <w:sz w:val="20"/>
                <w:szCs w:val="20"/>
                <w:color w:val="auto"/>
              </w:rPr>
            </w:pPr>
            <w:r>
              <w:rPr>
                <w:rFonts w:ascii="Times New Roman" w:cs="Times New Roman" w:eastAsia="Times New Roman" w:hAnsi="Times New Roman"/>
                <w:sz w:val="19"/>
                <w:szCs w:val="19"/>
                <w:color w:val="231F20"/>
              </w:rPr>
              <w:t>(Exhibit 97.1)</w:t>
            </w: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101.INS</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XBRL Instance Document – T</w:t>
            </w:r>
            <w:r>
              <w:rPr>
                <w:rFonts w:ascii="Times New Roman" w:cs="Times New Roman" w:eastAsia="Times New Roman" w:hAnsi="Times New Roman"/>
                <w:sz w:val="19"/>
                <w:szCs w:val="19"/>
                <w:color w:val="383738"/>
              </w:rPr>
              <w:t>he Instance</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383738"/>
              </w:rPr>
              <w:t>Document does not appear in the Interactive</w:t>
            </w:r>
          </w:p>
        </w:tc>
        <w:tc>
          <w:tcPr>
            <w:tcW w:w="2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383738"/>
              </w:rPr>
              <w:t>Data File because its XBRL tags are embedded</w:t>
            </w:r>
          </w:p>
        </w:tc>
        <w:tc>
          <w:tcPr>
            <w:tcW w:w="244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383738"/>
              </w:rPr>
              <w:t>within the Inline XBRL document</w:t>
            </w:r>
          </w:p>
        </w:tc>
        <w:tc>
          <w:tcPr>
            <w:tcW w:w="2440" w:type="dxa"/>
            <w:vAlign w:val="bottom"/>
            <w:vMerge w:val="continue"/>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101.SCH</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Inline XBRL Taxonomy Extension Schema</w:t>
            </w:r>
          </w:p>
        </w:tc>
        <w:tc>
          <w:tcPr>
            <w:tcW w:w="244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With Embedded Linkbase Documents</w:t>
            </w:r>
          </w:p>
        </w:tc>
        <w:tc>
          <w:tcPr>
            <w:tcW w:w="2440" w:type="dxa"/>
            <w:vAlign w:val="bottom"/>
            <w:vMerge w:val="continue"/>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231F20"/>
              </w:rPr>
              <w:t>104</w:t>
            </w: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The cover page for this Annual Report on Form</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10-K for the year ended December 31, 2024 is</w:t>
            </w:r>
          </w:p>
        </w:tc>
        <w:tc>
          <w:tcPr>
            <w:tcW w:w="2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contained in Exhibit 101 and has been formatted</w:t>
            </w:r>
          </w:p>
        </w:tc>
        <w:tc>
          <w:tcPr>
            <w:tcW w:w="244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231F20"/>
              </w:rPr>
              <w:t>X</w:t>
            </w: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in Inline XBRL</w:t>
            </w:r>
          </w:p>
        </w:tc>
        <w:tc>
          <w:tcPr>
            <w:tcW w:w="2440" w:type="dxa"/>
            <w:vAlign w:val="bottom"/>
            <w:vMerge w:val="continue"/>
          </w:tcPr>
          <w:p>
            <w:pPr>
              <w:spacing w:after="0"/>
              <w:rPr>
                <w:sz w:val="22"/>
                <w:szCs w:val="22"/>
                <w:color w:val="auto"/>
              </w:rPr>
            </w:pP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100"/>
        <w:spacing w:after="0" w:line="259" w:lineRule="auto"/>
        <w:tabs>
          <w:tab w:leader="none" w:pos="275" w:val="left"/>
        </w:tabs>
        <w:numPr>
          <w:ilvl w:val="0"/>
          <w:numId w:val="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certification attached as Exhibit 32 that accompanies this Annual Report on Form 10-K is not deemed filed with the SEC and is not to be incorporated by reference into any filing of Wave Life Sciences Ltd. under the Securities Act of 1933, as amended, or the Securities Exchange Act of 1934, as amended, whether made before or after the date of this Form 10-K, irrespective of any general incorporation language contained in such filing.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 Indicates management contract or compensatory plan or arrangement.</w:t>
      </w:r>
    </w:p>
    <w:p>
      <w:pPr>
        <w:spacing w:after="0" w:line="121" w:lineRule="exact"/>
        <w:rPr>
          <w:sz w:val="20"/>
          <w:szCs w:val="20"/>
          <w:color w:val="auto"/>
        </w:rPr>
      </w:pPr>
    </w:p>
    <w:p>
      <w:pPr>
        <w:spacing w:after="0" w:line="289" w:lineRule="auto"/>
        <w:tabs>
          <w:tab w:leader="none" w:pos="276" w:val="left"/>
        </w:tabs>
        <w:numPr>
          <w:ilvl w:val="0"/>
          <w:numId w:val="5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Confidential treatment has been granted with respect to certain portions of this exhibit. Omitted portions have been filed separately with the SEC.</w:t>
      </w:r>
    </w:p>
    <w:p>
      <w:pPr>
        <w:spacing w:after="0" w:line="35" w:lineRule="exact"/>
        <w:rPr>
          <w:sz w:val="20"/>
          <w:szCs w:val="20"/>
          <w:color w:val="auto"/>
        </w:rPr>
      </w:pPr>
    </w:p>
    <w:p>
      <w:pPr>
        <w:ind w:right="20"/>
        <w:spacing w:after="0" w:line="289" w:lineRule="auto"/>
        <w:tabs>
          <w:tab w:leader="none" w:pos="375" w:val="left"/>
        </w:tabs>
        <w:numPr>
          <w:ilvl w:val="0"/>
          <w:numId w:val="5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Certain confidential portions of this Exhibit were omitted by means of marking such portions with brackets (“[***]”) because the identified confidential portions (i) are not material and (ii) is the type that the Registrant treats as private or confidential.</w:t>
      </w:r>
    </w:p>
    <w:p>
      <w:pPr>
        <w:sectPr>
          <w:pgSz w:w="11880" w:h="15480" w:orient="portrait"/>
          <w:cols w:equalWidth="0" w:num="1">
            <w:col w:w="10440"/>
          </w:cols>
          <w:pgMar w:left="700" w:top="963" w:right="740" w:bottom="452"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b w:val="1"/>
          <w:bCs w:val="1"/>
          <w:color w:val="231F20"/>
        </w:rPr>
        <w:t>Item 16. Form 10-K Summary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None.</w:t>
      </w:r>
    </w:p>
    <w:p>
      <w:pPr>
        <w:sectPr>
          <w:pgSz w:w="11880" w:h="15480" w:orient="portrait"/>
          <w:cols w:equalWidth="0" w:num="1">
            <w:col w:w="9740"/>
          </w:cols>
          <w:pgMar w:left="700" w:top="1298"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9"/>
          <w:szCs w:val="19"/>
          <w:b w:val="1"/>
          <w:bCs w:val="1"/>
          <w:color w:val="231F20"/>
        </w:rPr>
        <w:t>SIGNATURES</w:t>
      </w:r>
    </w:p>
    <w:p>
      <w:pPr>
        <w:spacing w:after="0" w:line="237"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9"/>
          <w:szCs w:val="19"/>
          <w:color w:val="231F20"/>
        </w:rPr>
        <w:t>Pursuant to the requirements of Section 13 or 15(d) of the Securities Exchange Act of 1934, as amended,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020" w:type="dxa"/>
            <w:vAlign w:val="bottom"/>
          </w:tcPr>
          <w:p>
            <w:pPr>
              <w:spacing w:after="0"/>
              <w:rPr>
                <w:sz w:val="22"/>
                <w:szCs w:val="22"/>
                <w:color w:val="auto"/>
              </w:rPr>
            </w:pPr>
          </w:p>
        </w:tc>
        <w:tc>
          <w:tcPr>
            <w:tcW w:w="7460" w:type="dxa"/>
            <w:vAlign w:val="bottom"/>
            <w:gridSpan w:val="2"/>
          </w:tcPr>
          <w:p>
            <w:pPr>
              <w:ind w:left="2380"/>
              <w:spacing w:after="0"/>
              <w:rPr>
                <w:sz w:val="20"/>
                <w:szCs w:val="20"/>
                <w:color w:val="auto"/>
              </w:rPr>
            </w:pPr>
            <w:r>
              <w:rPr>
                <w:rFonts w:ascii="Times New Roman" w:cs="Times New Roman" w:eastAsia="Times New Roman" w:hAnsi="Times New Roman"/>
                <w:sz w:val="19"/>
                <w:szCs w:val="19"/>
                <w:color w:val="231F20"/>
              </w:rPr>
              <w:t>Wave Life Sciences Ltd.</w:t>
            </w:r>
          </w:p>
        </w:tc>
      </w:tr>
      <w:tr>
        <w:trPr>
          <w:trHeight w:val="475"/>
        </w:trPr>
        <w:tc>
          <w:tcPr>
            <w:tcW w:w="3020" w:type="dxa"/>
            <w:vAlign w:val="bottom"/>
          </w:tcPr>
          <w:p>
            <w:pPr>
              <w:spacing w:after="0"/>
              <w:rPr>
                <w:sz w:val="20"/>
                <w:szCs w:val="20"/>
                <w:color w:val="auto"/>
              </w:rPr>
            </w:pPr>
            <w:r>
              <w:rPr>
                <w:rFonts w:ascii="Times New Roman" w:cs="Times New Roman" w:eastAsia="Times New Roman" w:hAnsi="Times New Roman"/>
                <w:sz w:val="19"/>
                <w:szCs w:val="19"/>
                <w:color w:val="231F20"/>
              </w:rPr>
              <w:t>Date: February 26, 2026</w:t>
            </w:r>
          </w:p>
        </w:tc>
        <w:tc>
          <w:tcPr>
            <w:tcW w:w="7460" w:type="dxa"/>
            <w:vAlign w:val="bottom"/>
            <w:gridSpan w:val="2"/>
          </w:tcPr>
          <w:p>
            <w:pPr>
              <w:ind w:left="2380"/>
              <w:spacing w:after="0"/>
              <w:rPr>
                <w:sz w:val="20"/>
                <w:szCs w:val="20"/>
                <w:color w:val="auto"/>
              </w:rPr>
            </w:pPr>
            <w:r>
              <w:rPr>
                <w:rFonts w:ascii="Times New Roman" w:cs="Times New Roman" w:eastAsia="Times New Roman" w:hAnsi="Times New Roman"/>
                <w:sz w:val="19"/>
                <w:szCs w:val="19"/>
                <w:color w:val="231F20"/>
              </w:rPr>
              <w:t>By:   /s/ Paul B. Bolno, M.D.</w:t>
            </w:r>
          </w:p>
        </w:tc>
      </w:tr>
      <w:tr>
        <w:trPr>
          <w:trHeight w:val="194"/>
        </w:trPr>
        <w:tc>
          <w:tcPr>
            <w:tcW w:w="3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580" w:type="dxa"/>
            <w:vAlign w:val="bottom"/>
            <w:tcBorders>
              <w:top w:val="single" w:sz="8" w:color="231F20"/>
            </w:tcBorders>
          </w:tcPr>
          <w:p>
            <w:pPr>
              <w:spacing w:after="0" w:line="194" w:lineRule="exact"/>
              <w:rPr>
                <w:sz w:val="20"/>
                <w:szCs w:val="20"/>
                <w:color w:val="auto"/>
              </w:rPr>
            </w:pPr>
            <w:r>
              <w:rPr>
                <w:rFonts w:ascii="Times New Roman" w:cs="Times New Roman" w:eastAsia="Times New Roman" w:hAnsi="Times New Roman"/>
                <w:sz w:val="19"/>
                <w:szCs w:val="19"/>
                <w:color w:val="231F20"/>
              </w:rPr>
              <w:t>Paul B. Bolno, M.D.</w:t>
            </w:r>
          </w:p>
        </w:tc>
      </w:tr>
      <w:tr>
        <w:trPr>
          <w:trHeight w:val="258"/>
        </w:trPr>
        <w:tc>
          <w:tcPr>
            <w:tcW w:w="3020" w:type="dxa"/>
            <w:vAlign w:val="bottom"/>
          </w:tcPr>
          <w:p>
            <w:pPr>
              <w:spacing w:after="0"/>
              <w:rPr>
                <w:sz w:val="22"/>
                <w:szCs w:val="22"/>
                <w:color w:val="auto"/>
              </w:rPr>
            </w:pPr>
          </w:p>
        </w:tc>
        <w:tc>
          <w:tcPr>
            <w:tcW w:w="7460" w:type="dxa"/>
            <w:vAlign w:val="bottom"/>
            <w:gridSpan w:val="2"/>
          </w:tcPr>
          <w:p>
            <w:pPr>
              <w:ind w:left="2880"/>
              <w:spacing w:after="0"/>
              <w:rPr>
                <w:sz w:val="20"/>
                <w:szCs w:val="20"/>
                <w:color w:val="auto"/>
              </w:rPr>
            </w:pPr>
            <w:r>
              <w:rPr>
                <w:rFonts w:ascii="Times New Roman" w:cs="Times New Roman" w:eastAsia="Times New Roman" w:hAnsi="Times New Roman"/>
                <w:sz w:val="19"/>
                <w:szCs w:val="19"/>
                <w:color w:val="231F20"/>
              </w:rPr>
              <w:t>President and Chief Executive Officer</w:t>
            </w:r>
          </w:p>
        </w:tc>
      </w:tr>
      <w:tr>
        <w:trPr>
          <w:trHeight w:val="493"/>
        </w:trPr>
        <w:tc>
          <w:tcPr>
            <w:tcW w:w="3020" w:type="dxa"/>
            <w:vAlign w:val="bottom"/>
          </w:tcPr>
          <w:p>
            <w:pPr>
              <w:spacing w:after="0"/>
              <w:rPr>
                <w:sz w:val="24"/>
                <w:szCs w:val="24"/>
                <w:color w:val="auto"/>
              </w:rPr>
            </w:pPr>
          </w:p>
        </w:tc>
        <w:tc>
          <w:tcPr>
            <w:tcW w:w="7460" w:type="dxa"/>
            <w:vAlign w:val="bottom"/>
            <w:gridSpan w:val="2"/>
          </w:tcPr>
          <w:p>
            <w:pPr>
              <w:ind w:left="1120"/>
              <w:spacing w:after="0"/>
              <w:rPr>
                <w:sz w:val="20"/>
                <w:szCs w:val="20"/>
                <w:color w:val="auto"/>
              </w:rPr>
            </w:pPr>
            <w:r>
              <w:rPr>
                <w:rFonts w:ascii="Times New Roman" w:cs="Times New Roman" w:eastAsia="Times New Roman" w:hAnsi="Times New Roman"/>
                <w:sz w:val="19"/>
                <w:szCs w:val="19"/>
                <w:b w:val="1"/>
                <w:bCs w:val="1"/>
                <w:color w:val="231F20"/>
              </w:rPr>
              <w:t>POWER OF ATTORNEY</w:t>
            </w:r>
          </w:p>
        </w:tc>
      </w:tr>
    </w:tbl>
    <w:p>
      <w:pPr>
        <w:spacing w:after="0" w:line="194" w:lineRule="exact"/>
        <w:rPr>
          <w:sz w:val="20"/>
          <w:szCs w:val="20"/>
          <w:color w:val="auto"/>
        </w:rPr>
      </w:pPr>
    </w:p>
    <w:p>
      <w:pPr>
        <w:ind w:right="200" w:firstLine="1"/>
        <w:spacing w:after="0" w:line="252" w:lineRule="auto"/>
        <w:rPr>
          <w:sz w:val="20"/>
          <w:szCs w:val="20"/>
          <w:color w:val="auto"/>
        </w:rPr>
      </w:pPr>
      <w:r>
        <w:rPr>
          <w:rFonts w:ascii="Times New Roman" w:cs="Times New Roman" w:eastAsia="Times New Roman" w:hAnsi="Times New Roman"/>
          <w:sz w:val="19"/>
          <w:szCs w:val="19"/>
          <w:color w:val="231F20"/>
        </w:rPr>
        <w:t>Each person whose individual signature appears below hereby authorizes and appoints Paul B. Bolno, M.D. with full power of substitution and resubstitution and full power to act, as his or her true and lawful attorney-in -fact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 in-fact and agent, full power and authority to do and perform each and every act and thing, ratifying and confirming all that said attorney-in-fact and agent or his substitute or substitutes may lawfully do or cause to be done by virtue thereof.</w:t>
      </w:r>
    </w:p>
    <w:p>
      <w:pPr>
        <w:spacing w:after="0" w:line="18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9"/>
          <w:szCs w:val="19"/>
          <w:color w:val="231F20"/>
        </w:rPr>
        <w:t>Pursuant to the requirements of the Securities Exchange Act of 1934, as amended, this Report has been signed below by the following persons on behalf of the Registrant and in the capacities and on the dates indicated.</w:t>
      </w:r>
    </w:p>
    <w:p>
      <w:pPr>
        <w:spacing w:after="0" w:line="144" w:lineRule="exact"/>
        <w:rPr>
          <w:sz w:val="20"/>
          <w:szCs w:val="20"/>
          <w:color w:val="auto"/>
        </w:rPr>
      </w:pPr>
    </w:p>
    <w:p>
      <w:pPr>
        <w:ind w:left="1140"/>
        <w:spacing w:after="0"/>
        <w:tabs>
          <w:tab w:leader="none" w:pos="5100" w:val="left"/>
          <w:tab w:leader="none" w:pos="8880" w:val="left"/>
        </w:tabs>
        <w:rPr>
          <w:sz w:val="20"/>
          <w:szCs w:val="20"/>
          <w:color w:val="auto"/>
        </w:rPr>
      </w:pPr>
      <w:r>
        <w:rPr>
          <w:rFonts w:ascii="Times New Roman" w:cs="Times New Roman" w:eastAsia="Times New Roman" w:hAnsi="Times New Roman"/>
          <w:sz w:val="16"/>
          <w:szCs w:val="16"/>
          <w:b w:val="1"/>
          <w:bCs w:val="1"/>
          <w:color w:val="231F20"/>
        </w:rPr>
        <w:t>Signature</w:t>
      </w:r>
      <w:r>
        <w:rPr>
          <w:sz w:val="20"/>
          <w:szCs w:val="20"/>
          <w:color w:val="auto"/>
        </w:rPr>
        <w:tab/>
      </w:r>
      <w:r>
        <w:rPr>
          <w:rFonts w:ascii="Times New Roman" w:cs="Times New Roman" w:eastAsia="Times New Roman" w:hAnsi="Times New Roman"/>
          <w:sz w:val="16"/>
          <w:szCs w:val="16"/>
          <w:b w:val="1"/>
          <w:bCs w:val="1"/>
          <w:color w:val="231F20"/>
        </w:rPr>
        <w:t>Title</w:t>
      </w:r>
      <w:r>
        <w:rPr>
          <w:sz w:val="20"/>
          <w:szCs w:val="20"/>
          <w:color w:val="auto"/>
        </w:rPr>
        <w:tab/>
      </w:r>
      <w:r>
        <w:rPr>
          <w:rFonts w:ascii="Times New Roman" w:cs="Times New Roman" w:eastAsia="Times New Roman" w:hAnsi="Times New Roman"/>
          <w:sz w:val="14"/>
          <w:szCs w:val="14"/>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66040</wp:posOffset>
                </wp:positionH>
                <wp:positionV relativeFrom="paragraph">
                  <wp:posOffset>10160</wp:posOffset>
                </wp:positionV>
                <wp:extent cx="17297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9740" cy="4763"/>
                        </a:xfrm>
                        <a:prstGeom prst="line">
                          <a:avLst/>
                        </a:prstGeom>
                        <a:solidFill>
                          <a:srgbClr val="FFFFFF"/>
                        </a:solidFill>
                        <a:ln w="5918">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pt,0.8pt" to="141.4pt,0.8pt" o:allowincell="f" strokecolor="#231F20" strokeweight="0.466pt"/>
            </w:pict>
          </mc:Fallback>
        </mc:AlternateContent>
        <mc:AlternateContent>
          <mc:Choice Requires="wps">
            <w:drawing>
              <wp:anchor simplePos="0" relativeHeight="251657728" behindDoc="1" locked="0" layoutInCell="0" allowOverlap="1">
                <wp:simplePos x="0" y="0"/>
                <wp:positionH relativeFrom="column">
                  <wp:posOffset>1861820</wp:posOffset>
                </wp:positionH>
                <wp:positionV relativeFrom="paragraph">
                  <wp:posOffset>10160</wp:posOffset>
                </wp:positionV>
                <wp:extent cx="298196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1960" cy="4763"/>
                        </a:xfrm>
                        <a:prstGeom prst="line">
                          <a:avLst/>
                        </a:prstGeom>
                        <a:solidFill>
                          <a:srgbClr val="FFFFFF"/>
                        </a:solidFill>
                        <a:ln w="5918">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6pt,0.8pt" to="381.4pt,0.8pt" o:allowincell="f" strokecolor="#231F20" strokeweight="0.466pt"/>
            </w:pict>
          </mc:Fallback>
        </mc:AlternateContent>
        <mc:AlternateContent>
          <mc:Choice Requires="wps">
            <w:drawing>
              <wp:anchor simplePos="0" relativeHeight="251657728" behindDoc="1" locked="0" layoutInCell="0" allowOverlap="1">
                <wp:simplePos x="0" y="0"/>
                <wp:positionH relativeFrom="column">
                  <wp:posOffset>4910455</wp:posOffset>
                </wp:positionH>
                <wp:positionV relativeFrom="paragraph">
                  <wp:posOffset>10160</wp:posOffset>
                </wp:positionV>
                <wp:extent cx="167449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4495" cy="4763"/>
                        </a:xfrm>
                        <a:prstGeom prst="line">
                          <a:avLst/>
                        </a:prstGeom>
                        <a:solidFill>
                          <a:srgbClr val="FFFFFF"/>
                        </a:solidFill>
                        <a:ln w="5918">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65pt,0.8pt" to="518.5pt,0.8pt" o:allowincell="f" strokecolor="#231F20" strokeweight="0.466pt"/>
            </w:pict>
          </mc:Fallback>
        </mc:AlternateContent>
      </w:r>
    </w:p>
    <w:p>
      <w:pPr>
        <w:sectPr>
          <w:pgSz w:w="11880" w:h="15480" w:orient="portrait"/>
          <w:cols w:equalWidth="0" w:num="1">
            <w:col w:w="10480"/>
          </w:cols>
          <w:pgMar w:left="700" w:top="961" w:right="700" w:bottom="1440" w:gutter="0" w:footer="0" w:header="0"/>
        </w:sect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231F20"/>
        </w:rPr>
        <w:t>/s/ Paul B. Bolno, M.D.</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231F20"/>
        </w:rPr>
        <w:t>Paul B. Bolno,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66040</wp:posOffset>
                </wp:positionH>
                <wp:positionV relativeFrom="paragraph">
                  <wp:posOffset>-130810</wp:posOffset>
                </wp:positionV>
                <wp:extent cx="172974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9740" cy="4763"/>
                        </a:xfrm>
                        <a:prstGeom prst="line">
                          <a:avLst/>
                        </a:prstGeom>
                        <a:solidFill>
                          <a:srgbClr val="FFFFFF"/>
                        </a:solidFill>
                        <a:ln w="8864">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pt,-10.2999pt" to="141.4pt,-10.2999pt" o:allowincell="f" strokecolor="#231F20" strokeweight="0.698pt"/>
            </w:pict>
          </mc:Fallback>
        </mc:AlternateContent>
      </w:r>
    </w:p>
    <w:p>
      <w:pPr>
        <w:spacing w:after="0" w:line="1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231F20"/>
        </w:rPr>
        <w:t>/s/ Kyle Moran</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231F20"/>
        </w:rPr>
        <w:t>Kyle Moran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66040</wp:posOffset>
                </wp:positionH>
                <wp:positionV relativeFrom="paragraph">
                  <wp:posOffset>-132080</wp:posOffset>
                </wp:positionV>
                <wp:extent cx="17297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9740" cy="4763"/>
                        </a:xfrm>
                        <a:prstGeom prst="line">
                          <a:avLst/>
                        </a:prstGeom>
                        <a:solidFill>
                          <a:srgbClr val="FFFFFF"/>
                        </a:solidFill>
                        <a:ln w="8864">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pt,-10.3999pt" to="141.4pt,-10.3999pt" o:allowincell="f" strokecolor="#231F20" strokeweight="0.698pt"/>
            </w:pict>
          </mc:Fallback>
        </mc:AlternateContent>
      </w:r>
    </w:p>
    <w:p>
      <w:pPr>
        <w:spacing w:after="0" w:line="307" w:lineRule="exact"/>
        <w:rPr>
          <w:sz w:val="20"/>
          <w:szCs w:val="20"/>
          <w:color w:val="auto"/>
        </w:rPr>
      </w:pPr>
    </w:p>
    <w:p>
      <w:pPr>
        <w:ind w:left="100" w:right="640"/>
        <w:spacing w:after="0" w:line="324" w:lineRule="auto"/>
        <w:rPr>
          <w:sz w:val="20"/>
          <w:szCs w:val="20"/>
          <w:color w:val="auto"/>
        </w:rPr>
      </w:pPr>
      <w:r>
        <w:rPr>
          <w:rFonts w:ascii="Times New Roman" w:cs="Times New Roman" w:eastAsia="Times New Roman" w:hAnsi="Times New Roman"/>
          <w:sz w:val="19"/>
          <w:szCs w:val="19"/>
          <w:color w:val="231F20"/>
        </w:rPr>
        <w:t>/s/ Christian Henry Christian Henry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66040</wp:posOffset>
                </wp:positionH>
                <wp:positionV relativeFrom="paragraph">
                  <wp:posOffset>-204470</wp:posOffset>
                </wp:positionV>
                <wp:extent cx="172974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9740" cy="4763"/>
                        </a:xfrm>
                        <a:prstGeom prst="line">
                          <a:avLst/>
                        </a:prstGeom>
                        <a:solidFill>
                          <a:srgbClr val="FFFFFF"/>
                        </a:solidFill>
                        <a:ln w="8864">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pt,-16.0999pt" to="141.4pt,-16.0999pt" o:allowincell="f" strokecolor="#231F20" strokeweight="0.698pt"/>
            </w:pict>
          </mc:Fallback>
        </mc:AlternateConten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231F20"/>
              </w:rPr>
              <w:t>President, Chief Executive Officer and Director</w:t>
            </w:r>
          </w:p>
        </w:tc>
        <w:tc>
          <w:tcPr>
            <w:tcW w:w="2260" w:type="dxa"/>
            <w:vAlign w:val="bottom"/>
          </w:tcPr>
          <w:p>
            <w:pPr>
              <w:ind w:left="84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8"/>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i w:val="1"/>
                <w:iCs w:val="1"/>
                <w:color w:val="231F20"/>
              </w:rPr>
              <w:t>principal executive officer</w:t>
            </w:r>
            <w:r>
              <w:rPr>
                <w:rFonts w:ascii="Times New Roman" w:cs="Times New Roman" w:eastAsia="Times New Roman" w:hAnsi="Times New Roman"/>
                <w:sz w:val="19"/>
                <w:szCs w:val="19"/>
                <w:color w:val="231F20"/>
              </w:rPr>
              <w:t>)</w:t>
            </w:r>
          </w:p>
        </w:tc>
        <w:tc>
          <w:tcPr>
            <w:tcW w:w="2260" w:type="dxa"/>
            <w:vAlign w:val="bottom"/>
          </w:tcPr>
          <w:p>
            <w:pPr>
              <w:spacing w:after="0"/>
              <w:rPr>
                <w:sz w:val="22"/>
                <w:szCs w:val="22"/>
                <w:color w:val="auto"/>
              </w:rPr>
            </w:pPr>
          </w:p>
        </w:tc>
      </w:tr>
      <w:tr>
        <w:trPr>
          <w:trHeight w:val="356"/>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231F20"/>
              </w:rPr>
              <w:t>Chief Financial Officer</w:t>
            </w:r>
          </w:p>
        </w:tc>
        <w:tc>
          <w:tcPr>
            <w:tcW w:w="2260" w:type="dxa"/>
            <w:vAlign w:val="bottom"/>
          </w:tcPr>
          <w:p>
            <w:pPr>
              <w:ind w:left="84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i w:val="1"/>
                <w:iCs w:val="1"/>
                <w:color w:val="231F20"/>
              </w:rPr>
              <w:t>principal financial officer and</w:t>
            </w:r>
          </w:p>
        </w:tc>
        <w:tc>
          <w:tcPr>
            <w:tcW w:w="2260" w:type="dxa"/>
            <w:vAlign w:val="bottom"/>
          </w:tcPr>
          <w:p>
            <w:pPr>
              <w:spacing w:after="0"/>
              <w:rPr>
                <w:sz w:val="19"/>
                <w:szCs w:val="19"/>
                <w:color w:val="auto"/>
              </w:rPr>
            </w:pPr>
          </w:p>
        </w:tc>
      </w:tr>
      <w:tr>
        <w:trPr>
          <w:trHeight w:val="258"/>
        </w:trPr>
        <w:tc>
          <w:tcPr>
            <w:tcW w:w="4560" w:type="dxa"/>
            <w:vAlign w:val="bottom"/>
          </w:tcPr>
          <w:p>
            <w:pPr>
              <w:spacing w:after="0"/>
              <w:rPr>
                <w:sz w:val="20"/>
                <w:szCs w:val="20"/>
                <w:color w:val="auto"/>
              </w:rPr>
            </w:pPr>
            <w:r>
              <w:rPr>
                <w:rFonts w:ascii="Times New Roman" w:cs="Times New Roman" w:eastAsia="Times New Roman" w:hAnsi="Times New Roman"/>
                <w:sz w:val="19"/>
                <w:szCs w:val="19"/>
                <w:i w:val="1"/>
                <w:iCs w:val="1"/>
                <w:color w:val="231F20"/>
              </w:rPr>
              <w:t>principal accounting officer</w:t>
            </w:r>
            <w:r>
              <w:rPr>
                <w:rFonts w:ascii="Times New Roman" w:cs="Times New Roman" w:eastAsia="Times New Roman" w:hAnsi="Times New Roman"/>
                <w:sz w:val="19"/>
                <w:szCs w:val="19"/>
                <w:color w:val="231F20"/>
              </w:rPr>
              <w:t>)</w:t>
            </w:r>
          </w:p>
        </w:tc>
        <w:tc>
          <w:tcPr>
            <w:tcW w:w="2260" w:type="dxa"/>
            <w:vAlign w:val="bottom"/>
          </w:tcPr>
          <w:p>
            <w:pPr>
              <w:spacing w:after="0"/>
              <w:rPr>
                <w:sz w:val="22"/>
                <w:szCs w:val="22"/>
                <w:color w:val="auto"/>
              </w:rPr>
            </w:pPr>
          </w:p>
        </w:tc>
      </w:tr>
      <w:tr>
        <w:trPr>
          <w:trHeight w:val="356"/>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231F20"/>
              </w:rPr>
              <w:t>Chairman of the Board of Directors</w:t>
            </w:r>
          </w:p>
        </w:tc>
        <w:tc>
          <w:tcPr>
            <w:tcW w:w="2260" w:type="dxa"/>
            <w:vAlign w:val="bottom"/>
          </w:tcPr>
          <w:p>
            <w:pPr>
              <w:ind w:left="840"/>
              <w:spacing w:after="0"/>
              <w:rPr>
                <w:sz w:val="20"/>
                <w:szCs w:val="20"/>
                <w:color w:val="auto"/>
              </w:rPr>
            </w:pPr>
            <w:r>
              <w:rPr>
                <w:rFonts w:ascii="Times New Roman" w:cs="Times New Roman" w:eastAsia="Times New Roman" w:hAnsi="Times New Roman"/>
                <w:sz w:val="19"/>
                <w:szCs w:val="19"/>
                <w:color w:val="231F20"/>
              </w:rPr>
              <w:t>February 26, 2026</w:t>
            </w:r>
          </w:p>
        </w:tc>
      </w:tr>
    </w:tbl>
    <w:p>
      <w:pPr>
        <w:spacing w:after="0" w:line="356" w:lineRule="exact"/>
        <w:rPr>
          <w:sz w:val="20"/>
          <w:szCs w:val="20"/>
          <w:color w:val="auto"/>
        </w:rPr>
      </w:pPr>
    </w:p>
    <w:p>
      <w:pPr>
        <w:sectPr>
          <w:pgSz w:w="11880" w:h="15480" w:orient="portrait"/>
          <w:cols w:equalWidth="0" w:num="2">
            <w:col w:w="2220" w:space="720"/>
            <w:col w:w="7540"/>
          </w:cols>
          <w:pgMar w:left="700" w:top="961" w:right="700" w:bottom="1440" w:gutter="0" w:footer="0" w:header="0"/>
          <w:type w:val="continuous"/>
        </w:sectPr>
      </w:pPr>
    </w:p>
    <w:tbl>
      <w:tblPr>
        <w:tblLayout w:type="fixed"/>
        <w:tblInd w:w="100" w:type="dxa"/>
        <w:tblCellMar>
          <w:top w:w="0" w:type="dxa"/>
          <w:left w:w="0" w:type="dxa"/>
          <w:bottom w:w="0" w:type="dxa"/>
          <w:right w:w="0" w:type="dxa"/>
        </w:tblCellMar>
      </w:tblPr>
      <w:tr>
        <w:trPr>
          <w:trHeight w:val="259"/>
        </w:trPr>
        <w:tc>
          <w:tcPr>
            <w:tcW w:w="27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/s/ Gregory L. Verdine, Ph.D.</w:t>
            </w:r>
          </w:p>
        </w:tc>
        <w:tc>
          <w:tcPr>
            <w:tcW w:w="314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Director</w:t>
            </w:r>
          </w:p>
        </w:tc>
        <w:tc>
          <w:tcPr>
            <w:tcW w:w="3800" w:type="dxa"/>
            <w:vAlign w:val="bottom"/>
          </w:tcPr>
          <w:p>
            <w:pPr>
              <w:ind w:left="238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3"/>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231F20"/>
              </w:rPr>
              <w:t>Gregory L. Verdine, Ph.D.</w:t>
            </w:r>
          </w:p>
        </w:tc>
        <w:tc>
          <w:tcPr>
            <w:tcW w:w="314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340"/>
        </w:trPr>
        <w:tc>
          <w:tcPr>
            <w:tcW w:w="27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/s/ Peter Kolchinsky, Ph.D.</w:t>
            </w:r>
          </w:p>
        </w:tc>
        <w:tc>
          <w:tcPr>
            <w:tcW w:w="314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Director</w:t>
            </w:r>
          </w:p>
        </w:tc>
        <w:tc>
          <w:tcPr>
            <w:tcW w:w="3800" w:type="dxa"/>
            <w:vAlign w:val="bottom"/>
          </w:tcPr>
          <w:p>
            <w:pPr>
              <w:ind w:left="238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5"/>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231F20"/>
              </w:rPr>
              <w:t>Peter Kolchinsky, Ph.D.</w:t>
            </w:r>
          </w:p>
        </w:tc>
        <w:tc>
          <w:tcPr>
            <w:tcW w:w="314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340"/>
        </w:trPr>
        <w:tc>
          <w:tcPr>
            <w:tcW w:w="27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/s/ Aik-Na Tan</w:t>
            </w:r>
          </w:p>
        </w:tc>
        <w:tc>
          <w:tcPr>
            <w:tcW w:w="314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Director</w:t>
            </w:r>
          </w:p>
        </w:tc>
        <w:tc>
          <w:tcPr>
            <w:tcW w:w="3800" w:type="dxa"/>
            <w:vAlign w:val="bottom"/>
          </w:tcPr>
          <w:p>
            <w:pPr>
              <w:ind w:left="238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5"/>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231F20"/>
              </w:rPr>
              <w:t>Aik-Na Tan</w:t>
            </w:r>
          </w:p>
        </w:tc>
        <w:tc>
          <w:tcPr>
            <w:tcW w:w="314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339"/>
        </w:trPr>
        <w:tc>
          <w:tcPr>
            <w:tcW w:w="27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/s/ Adrian Rawcliffe</w:t>
            </w:r>
          </w:p>
        </w:tc>
        <w:tc>
          <w:tcPr>
            <w:tcW w:w="314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Director</w:t>
            </w:r>
          </w:p>
        </w:tc>
        <w:tc>
          <w:tcPr>
            <w:tcW w:w="3800" w:type="dxa"/>
            <w:vAlign w:val="bottom"/>
          </w:tcPr>
          <w:p>
            <w:pPr>
              <w:ind w:left="238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3"/>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231F20"/>
              </w:rPr>
              <w:t>Adrian Rawcliffe</w:t>
            </w:r>
          </w:p>
        </w:tc>
        <w:tc>
          <w:tcPr>
            <w:tcW w:w="314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341"/>
        </w:trPr>
        <w:tc>
          <w:tcPr>
            <w:tcW w:w="27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/s/ Ken Takanashi</w:t>
            </w:r>
          </w:p>
        </w:tc>
        <w:tc>
          <w:tcPr>
            <w:tcW w:w="314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Director</w:t>
            </w:r>
          </w:p>
        </w:tc>
        <w:tc>
          <w:tcPr>
            <w:tcW w:w="3800" w:type="dxa"/>
            <w:vAlign w:val="bottom"/>
          </w:tcPr>
          <w:p>
            <w:pPr>
              <w:ind w:left="238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3"/>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231F20"/>
              </w:rPr>
              <w:t>Ken Takanashi</w:t>
            </w:r>
          </w:p>
        </w:tc>
        <w:tc>
          <w:tcPr>
            <w:tcW w:w="314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340"/>
        </w:trPr>
        <w:tc>
          <w:tcPr>
            <w:tcW w:w="27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/s/ Mark H. N. Corrigan, M.D.</w:t>
            </w:r>
          </w:p>
        </w:tc>
        <w:tc>
          <w:tcPr>
            <w:tcW w:w="314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Director</w:t>
            </w:r>
          </w:p>
        </w:tc>
        <w:tc>
          <w:tcPr>
            <w:tcW w:w="3800" w:type="dxa"/>
            <w:vAlign w:val="bottom"/>
          </w:tcPr>
          <w:p>
            <w:pPr>
              <w:ind w:left="238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5"/>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231F20"/>
              </w:rPr>
              <w:t>Mark H. N. Corrigan, M.D.</w:t>
            </w:r>
          </w:p>
        </w:tc>
        <w:tc>
          <w:tcPr>
            <w:tcW w:w="314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340"/>
        </w:trPr>
        <w:tc>
          <w:tcPr>
            <w:tcW w:w="27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/s/ Heidi L. Wagner</w:t>
            </w:r>
          </w:p>
        </w:tc>
        <w:tc>
          <w:tcPr>
            <w:tcW w:w="314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Director</w:t>
            </w:r>
          </w:p>
        </w:tc>
        <w:tc>
          <w:tcPr>
            <w:tcW w:w="3800" w:type="dxa"/>
            <w:vAlign w:val="bottom"/>
          </w:tcPr>
          <w:p>
            <w:pPr>
              <w:ind w:left="2380"/>
              <w:spacing w:after="0"/>
              <w:rPr>
                <w:sz w:val="20"/>
                <w:szCs w:val="20"/>
                <w:color w:val="auto"/>
              </w:rPr>
            </w:pPr>
            <w:r>
              <w:rPr>
                <w:rFonts w:ascii="Times New Roman" w:cs="Times New Roman" w:eastAsia="Times New Roman" w:hAnsi="Times New Roman"/>
                <w:sz w:val="19"/>
                <w:szCs w:val="19"/>
                <w:color w:val="231F20"/>
              </w:rPr>
              <w:t>February 26, 2026</w:t>
            </w:r>
          </w:p>
        </w:tc>
      </w:tr>
      <w:tr>
        <w:trPr>
          <w:trHeight w:val="255"/>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231F20"/>
              </w:rPr>
              <w:t>Heidi L. Wagner</w:t>
            </w:r>
          </w:p>
        </w:tc>
        <w:tc>
          <w:tcPr>
            <w:tcW w:w="3140" w:type="dxa"/>
            <w:vAlign w:val="bottom"/>
          </w:tcPr>
          <w:p>
            <w:pPr>
              <w:spacing w:after="0"/>
              <w:rPr>
                <w:sz w:val="22"/>
                <w:szCs w:val="22"/>
                <w:color w:val="auto"/>
              </w:rPr>
            </w:pPr>
          </w:p>
        </w:tc>
        <w:tc>
          <w:tcPr>
            <w:tcW w:w="3800" w:type="dxa"/>
            <w:vAlign w:val="bottom"/>
          </w:tcPr>
          <w:p>
            <w:pPr>
              <w:spacing w:after="0"/>
              <w:rPr>
                <w:sz w:val="22"/>
                <w:szCs w:val="22"/>
                <w:color w:val="auto"/>
              </w:rPr>
            </w:pPr>
          </w:p>
        </w:tc>
      </w:tr>
    </w:tbl>
    <w:p>
      <w:pPr>
        <w:sectPr>
          <w:pgSz w:w="11880" w:h="15480" w:orient="portrait"/>
          <w:cols w:equalWidth="0" w:num="1">
            <w:col w:w="10480"/>
          </w:cols>
          <w:pgMar w:left="700" w:top="961" w:right="700" w:bottom="1440" w:gutter="0" w:footer="0" w:header="0"/>
          <w:type w:val="continuous"/>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000" w:type="dxa"/>
            <w:vAlign w:val="bottom"/>
          </w:tcPr>
          <w:p>
            <w:pPr>
              <w:ind w:left="2680"/>
              <w:spacing w:after="0"/>
              <w:rPr>
                <w:sz w:val="20"/>
                <w:szCs w:val="20"/>
                <w:color w:val="auto"/>
              </w:rPr>
            </w:pPr>
            <w:r>
              <w:rPr>
                <w:rFonts w:ascii="Times New Roman" w:cs="Times New Roman" w:eastAsia="Times New Roman" w:hAnsi="Times New Roman"/>
                <w:sz w:val="19"/>
                <w:szCs w:val="19"/>
                <w:b w:val="1"/>
                <w:bCs w:val="1"/>
                <w:color w:val="231F20"/>
              </w:rPr>
              <w:t>INDEX TO CONSOLIDATED FINANCIAL STATEMENTS</w:t>
            </w:r>
          </w:p>
        </w:tc>
        <w:tc>
          <w:tcPr>
            <w:tcW w:w="1480" w:type="dxa"/>
            <w:vAlign w:val="bottom"/>
          </w:tcPr>
          <w:p>
            <w:pPr>
              <w:spacing w:after="0"/>
              <w:rPr>
                <w:sz w:val="22"/>
                <w:szCs w:val="22"/>
                <w:color w:val="auto"/>
              </w:rPr>
            </w:pPr>
          </w:p>
        </w:tc>
      </w:tr>
      <w:tr>
        <w:trPr>
          <w:trHeight w:val="406"/>
        </w:trPr>
        <w:tc>
          <w:tcPr>
            <w:tcW w:w="9000" w:type="dxa"/>
            <w:vAlign w:val="bottom"/>
          </w:tcPr>
          <w:p>
            <w:pPr>
              <w:spacing w:after="0"/>
              <w:rPr>
                <w:sz w:val="20"/>
                <w:szCs w:val="20"/>
                <w:color w:val="auto"/>
              </w:rPr>
            </w:pPr>
            <w:r>
              <w:rPr>
                <w:rFonts w:ascii="Times New Roman" w:cs="Times New Roman" w:eastAsia="Times New Roman" w:hAnsi="Times New Roman"/>
                <w:sz w:val="19"/>
                <w:szCs w:val="19"/>
                <w:color w:val="231F20"/>
              </w:rPr>
              <w:t>Report of Independent Registered Public Accounting Firm</w:t>
            </w:r>
          </w:p>
        </w:tc>
        <w:tc>
          <w:tcPr>
            <w:tcW w:w="1480" w:type="dxa"/>
            <w:vAlign w:val="bottom"/>
          </w:tcPr>
          <w:p>
            <w:pPr>
              <w:ind w:left="1200"/>
              <w:spacing w:after="0"/>
              <w:rPr>
                <w:sz w:val="20"/>
                <w:szCs w:val="20"/>
                <w:color w:val="auto"/>
              </w:rPr>
            </w:pPr>
            <w:r>
              <w:rPr>
                <w:rFonts w:ascii="Times New Roman" w:cs="Times New Roman" w:eastAsia="Times New Roman" w:hAnsi="Times New Roman"/>
                <w:sz w:val="19"/>
                <w:szCs w:val="19"/>
                <w:color w:val="231F20"/>
                <w:w w:val="98"/>
              </w:rPr>
              <w:t>F-1</w:t>
            </w:r>
          </w:p>
        </w:tc>
      </w:tr>
      <w:tr>
        <w:trPr>
          <w:trHeight w:val="224"/>
        </w:trPr>
        <w:tc>
          <w:tcPr>
            <w:tcW w:w="9000" w:type="dxa"/>
            <w:vAlign w:val="bottom"/>
          </w:tcPr>
          <w:p>
            <w:pPr>
              <w:spacing w:after="0"/>
              <w:rPr>
                <w:sz w:val="20"/>
                <w:szCs w:val="20"/>
                <w:color w:val="auto"/>
              </w:rPr>
            </w:pPr>
            <w:r>
              <w:rPr>
                <w:rFonts w:ascii="Times New Roman" w:cs="Times New Roman" w:eastAsia="Times New Roman" w:hAnsi="Times New Roman"/>
                <w:sz w:val="19"/>
                <w:szCs w:val="19"/>
                <w:color w:val="231F20"/>
              </w:rPr>
              <w:t>Consolidated Balance Sheets</w:t>
            </w:r>
          </w:p>
        </w:tc>
        <w:tc>
          <w:tcPr>
            <w:tcW w:w="1480" w:type="dxa"/>
            <w:vAlign w:val="bottom"/>
          </w:tcPr>
          <w:p>
            <w:pPr>
              <w:ind w:left="1200"/>
              <w:spacing w:after="0"/>
              <w:rPr>
                <w:sz w:val="20"/>
                <w:szCs w:val="20"/>
                <w:color w:val="auto"/>
              </w:rPr>
            </w:pPr>
            <w:r>
              <w:rPr>
                <w:rFonts w:ascii="Times New Roman" w:cs="Times New Roman" w:eastAsia="Times New Roman" w:hAnsi="Times New Roman"/>
                <w:sz w:val="19"/>
                <w:szCs w:val="19"/>
                <w:color w:val="231F20"/>
                <w:w w:val="98"/>
              </w:rPr>
              <w:t>F-3</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9"/>
                <w:szCs w:val="19"/>
                <w:color w:val="231F20"/>
              </w:rPr>
              <w:t>Consolidated Statements of Operations and Comprehensive Loss</w:t>
            </w:r>
          </w:p>
        </w:tc>
        <w:tc>
          <w:tcPr>
            <w:tcW w:w="1480" w:type="dxa"/>
            <w:vAlign w:val="bottom"/>
          </w:tcPr>
          <w:p>
            <w:pPr>
              <w:ind w:left="1200"/>
              <w:spacing w:after="0"/>
              <w:rPr>
                <w:sz w:val="20"/>
                <w:szCs w:val="20"/>
                <w:color w:val="auto"/>
              </w:rPr>
            </w:pPr>
            <w:r>
              <w:rPr>
                <w:rFonts w:ascii="Times New Roman" w:cs="Times New Roman" w:eastAsia="Times New Roman" w:hAnsi="Times New Roman"/>
                <w:sz w:val="19"/>
                <w:szCs w:val="19"/>
                <w:color w:val="231F20"/>
                <w:w w:val="98"/>
              </w:rPr>
              <w:t>F-4</w:t>
            </w:r>
          </w:p>
        </w:tc>
      </w:tr>
      <w:tr>
        <w:trPr>
          <w:trHeight w:val="224"/>
        </w:trPr>
        <w:tc>
          <w:tcPr>
            <w:tcW w:w="9000" w:type="dxa"/>
            <w:vAlign w:val="bottom"/>
          </w:tcPr>
          <w:p>
            <w:pPr>
              <w:spacing w:after="0"/>
              <w:rPr>
                <w:sz w:val="20"/>
                <w:szCs w:val="20"/>
                <w:color w:val="auto"/>
              </w:rPr>
            </w:pPr>
            <w:r>
              <w:rPr>
                <w:rFonts w:ascii="Times New Roman" w:cs="Times New Roman" w:eastAsia="Times New Roman" w:hAnsi="Times New Roman"/>
                <w:sz w:val="19"/>
                <w:szCs w:val="19"/>
                <w:color w:val="231F20"/>
              </w:rPr>
              <w:t>Consolidated Statements of Series A Preferred Shares and Shareholders’ Equity (Deficit)</w:t>
            </w:r>
          </w:p>
        </w:tc>
        <w:tc>
          <w:tcPr>
            <w:tcW w:w="1480" w:type="dxa"/>
            <w:vAlign w:val="bottom"/>
          </w:tcPr>
          <w:p>
            <w:pPr>
              <w:ind w:left="1200"/>
              <w:spacing w:after="0"/>
              <w:rPr>
                <w:sz w:val="20"/>
                <w:szCs w:val="20"/>
                <w:color w:val="auto"/>
              </w:rPr>
            </w:pPr>
            <w:r>
              <w:rPr>
                <w:rFonts w:ascii="Times New Roman" w:cs="Times New Roman" w:eastAsia="Times New Roman" w:hAnsi="Times New Roman"/>
                <w:sz w:val="19"/>
                <w:szCs w:val="19"/>
                <w:color w:val="231F20"/>
                <w:w w:val="98"/>
              </w:rPr>
              <w:t>F-5</w:t>
            </w:r>
          </w:p>
        </w:tc>
      </w:tr>
      <w:tr>
        <w:trPr>
          <w:trHeight w:val="221"/>
        </w:trPr>
        <w:tc>
          <w:tcPr>
            <w:tcW w:w="9000" w:type="dxa"/>
            <w:vAlign w:val="bottom"/>
          </w:tcPr>
          <w:p>
            <w:pPr>
              <w:spacing w:after="0"/>
              <w:rPr>
                <w:sz w:val="20"/>
                <w:szCs w:val="20"/>
                <w:color w:val="auto"/>
              </w:rPr>
            </w:pPr>
            <w:r>
              <w:rPr>
                <w:rFonts w:ascii="Times New Roman" w:cs="Times New Roman" w:eastAsia="Times New Roman" w:hAnsi="Times New Roman"/>
                <w:sz w:val="19"/>
                <w:szCs w:val="19"/>
                <w:color w:val="231F20"/>
              </w:rPr>
              <w:t>Consolidated Statements of Cash Flows</w:t>
            </w:r>
          </w:p>
        </w:tc>
        <w:tc>
          <w:tcPr>
            <w:tcW w:w="1480" w:type="dxa"/>
            <w:vAlign w:val="bottom"/>
          </w:tcPr>
          <w:p>
            <w:pPr>
              <w:ind w:left="1200"/>
              <w:spacing w:after="0"/>
              <w:rPr>
                <w:sz w:val="20"/>
                <w:szCs w:val="20"/>
                <w:color w:val="auto"/>
              </w:rPr>
            </w:pPr>
            <w:r>
              <w:rPr>
                <w:rFonts w:ascii="Times New Roman" w:cs="Times New Roman" w:eastAsia="Times New Roman" w:hAnsi="Times New Roman"/>
                <w:sz w:val="19"/>
                <w:szCs w:val="19"/>
                <w:color w:val="231F20"/>
                <w:w w:val="98"/>
              </w:rPr>
              <w:t>F-6</w:t>
            </w:r>
          </w:p>
        </w:tc>
      </w:tr>
      <w:tr>
        <w:trPr>
          <w:trHeight w:val="258"/>
        </w:trPr>
        <w:tc>
          <w:tcPr>
            <w:tcW w:w="9000" w:type="dxa"/>
            <w:vAlign w:val="bottom"/>
          </w:tcPr>
          <w:p>
            <w:pPr>
              <w:spacing w:after="0"/>
              <w:rPr>
                <w:sz w:val="20"/>
                <w:szCs w:val="20"/>
                <w:color w:val="auto"/>
              </w:rPr>
            </w:pPr>
            <w:r>
              <w:rPr>
                <w:rFonts w:ascii="Times New Roman" w:cs="Times New Roman" w:eastAsia="Times New Roman" w:hAnsi="Times New Roman"/>
                <w:sz w:val="19"/>
                <w:szCs w:val="19"/>
                <w:color w:val="231F20"/>
              </w:rPr>
              <w:t>Notes to Consolidated Financial Statements</w:t>
            </w:r>
          </w:p>
        </w:tc>
        <w:tc>
          <w:tcPr>
            <w:tcW w:w="1480" w:type="dxa"/>
            <w:vAlign w:val="bottom"/>
          </w:tcPr>
          <w:p>
            <w:pPr>
              <w:ind w:left="1200"/>
              <w:spacing w:after="0"/>
              <w:rPr>
                <w:sz w:val="20"/>
                <w:szCs w:val="20"/>
                <w:color w:val="auto"/>
              </w:rPr>
            </w:pPr>
            <w:r>
              <w:rPr>
                <w:rFonts w:ascii="Times New Roman" w:cs="Times New Roman" w:eastAsia="Times New Roman" w:hAnsi="Times New Roman"/>
                <w:sz w:val="19"/>
                <w:szCs w:val="19"/>
                <w:color w:val="231F20"/>
                <w:w w:val="98"/>
              </w:rPr>
              <w:t>F-7</w:t>
            </w:r>
          </w:p>
        </w:tc>
      </w:tr>
    </w:tbl>
    <w:p>
      <w:pPr>
        <w:sectPr>
          <w:pgSz w:w="11880" w:h="15480" w:orient="portrait"/>
          <w:cols w:equalWidth="0" w:num="1">
            <w:col w:w="10480"/>
          </w:cols>
          <w:pgMar w:left="700" w:top="961" w:right="700" w:bottom="1440" w:gutter="0" w:footer="0" w:header="0"/>
        </w:sectPr>
      </w:pPr>
    </w:p>
    <w:bookmarkStart w:id="104" w:name="page105"/>
    <w:bookmarkEnd w:id="104"/>
    <w:p>
      <w:pPr>
        <w:ind w:left="2800"/>
        <w:spacing w:after="0"/>
        <w:rPr>
          <w:sz w:val="20"/>
          <w:szCs w:val="20"/>
          <w:color w:val="auto"/>
        </w:rPr>
      </w:pPr>
      <w:r>
        <w:rPr>
          <w:rFonts w:ascii="Times New Roman" w:cs="Times New Roman" w:eastAsia="Times New Roman" w:hAnsi="Times New Roman"/>
          <w:sz w:val="19"/>
          <w:szCs w:val="19"/>
          <w:b w:val="1"/>
          <w:bCs w:val="1"/>
          <w:color w:val="231F20"/>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To the Shareholders and Board of Directors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Wave Life Sciences Ltd.: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Opinions on the Consolidated Financial Statements and Internal Control Over Financial Reporting</w:t>
      </w:r>
    </w:p>
    <w:p>
      <w:pPr>
        <w:spacing w:after="0" w:line="20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231F20"/>
        </w:rPr>
        <w:t xml:space="preserve">We have audited the accompanying consolidated balance sheets of Wave Life Sciences Ltd. and subsidiaries (the Company) as of December 31, 2025 and 2024, the related consolidated statements of operations and comprehensive loss, Series A preferred shares and shareholders’ equity (deficit),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9"/>
          <w:szCs w:val="19"/>
          <w:i w:val="1"/>
          <w:iCs w:val="1"/>
          <w:color w:val="231F20"/>
        </w:rPr>
        <w:t>Internal Control – Integrated Framework (2013)</w:t>
      </w:r>
      <w:r>
        <w:rPr>
          <w:rFonts w:ascii="Times New Roman" w:cs="Times New Roman" w:eastAsia="Times New Roman" w:hAnsi="Times New Roman"/>
          <w:sz w:val="19"/>
          <w:szCs w:val="19"/>
          <w:color w:val="231F20"/>
        </w:rPr>
        <w:t xml:space="preserve"> issued by the Committee of Sponsoring Organizations of the Treadway Commission.</w:t>
      </w:r>
    </w:p>
    <w:p>
      <w:pPr>
        <w:spacing w:after="0" w:line="14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231F20"/>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9"/>
          <w:szCs w:val="19"/>
          <w:i w:val="1"/>
          <w:iCs w:val="1"/>
          <w:color w:val="231F20"/>
        </w:rPr>
        <w:t>Internal Control – Integrated Framework (2013)</w:t>
      </w:r>
      <w:r>
        <w:rPr>
          <w:rFonts w:ascii="Times New Roman" w:cs="Times New Roman" w:eastAsia="Times New Roman" w:hAnsi="Times New Roman"/>
          <w:sz w:val="19"/>
          <w:szCs w:val="19"/>
          <w:color w:val="231F20"/>
        </w:rPr>
        <w:t xml:space="preserve"> issued by the Committee of Sponsoring Organizations of the Treadway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Basis for Opinions</w:t>
      </w:r>
    </w:p>
    <w:p>
      <w:pPr>
        <w:spacing w:after="0" w:line="10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231F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Definition and Limitations of Internal Control Over Financial Reporting</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w:t>
      </w:r>
    </w:p>
    <w:p>
      <w:pPr>
        <w:sectPr>
          <w:pgSz w:w="11880" w:h="15480" w:orient="portrait"/>
          <w:cols w:equalWidth="0" w:num="1">
            <w:col w:w="10460"/>
          </w:cols>
          <w:pgMar w:left="700" w:top="961" w:right="720" w:bottom="213" w:gutter="0" w:footer="0" w:header="0"/>
        </w:sectPr>
      </w:pPr>
    </w:p>
    <w:bookmarkStart w:id="105" w:name="page106"/>
    <w:bookmarkEnd w:id="105"/>
    <w:p>
      <w:pPr>
        <w:jc w:val="both"/>
        <w:ind w:right="20"/>
        <w:spacing w:after="0" w:line="277"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Critical Audit Matter</w:t>
      </w:r>
    </w:p>
    <w:p>
      <w:pPr>
        <w:spacing w:after="0" w:line="10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231F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231F20"/>
        </w:rPr>
        <w:t>Evaluation of revenue recognition for certain research and development services</w:t>
      </w:r>
    </w:p>
    <w:p>
      <w:pPr>
        <w:spacing w:after="0" w:line="108"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9"/>
          <w:szCs w:val="19"/>
          <w:color w:val="231F20"/>
        </w:rPr>
        <w:t>As discussed in Note 5 to the consolidated financial statements, the Company is party to a collaboration agreement with GlaxoSmithKline (GSK) which has several performance obligations, including the promise to provide research and development (R&amp;D) services. The Company recognizes R&amp;D services revenue over time using an input method. This method measures progress based on costs incurred in relation to the R&amp;D activities and the costs expected to be incurred in the future to satisfy each performance obligation. Amounts received by the Company before performance are recorded as deferred revenue. For the year ended December 31, 2025, the Company recognized over-time revenue under the GSK collaboration agreement of $42.7 million. In addition, as of December 31, 2025, a portion of the Company’s current and long-term deferred revenue relates to R&amp;D services.</w:t>
      </w:r>
    </w:p>
    <w:p>
      <w:pPr>
        <w:spacing w:after="0" w:line="386" w:lineRule="exact"/>
        <w:rPr>
          <w:sz w:val="20"/>
          <w:szCs w:val="20"/>
          <w:color w:val="auto"/>
        </w:rPr>
      </w:pPr>
    </w:p>
    <w:p>
      <w:pPr>
        <w:ind w:left="340" w:right="140"/>
        <w:spacing w:after="0" w:line="274" w:lineRule="auto"/>
        <w:rPr>
          <w:sz w:val="20"/>
          <w:szCs w:val="20"/>
          <w:color w:val="auto"/>
        </w:rPr>
      </w:pPr>
      <w:r>
        <w:rPr>
          <w:rFonts w:ascii="Times New Roman" w:cs="Times New Roman" w:eastAsia="Times New Roman" w:hAnsi="Times New Roman"/>
          <w:sz w:val="19"/>
          <w:szCs w:val="19"/>
          <w:color w:val="231F20"/>
        </w:rPr>
        <w:t>We identified the evaluation of revenue recognition for certain R&amp;D services as a critical audit matter. Specifically, evaluating the estimate of total costs expected to be incurred in satisfying certain R&amp;D performance obligations required especially challenging auditor judgment. This involved an assessment of the nature of work to be performed and the method for measuring progress.</w:t>
      </w:r>
    </w:p>
    <w:p>
      <w:pPr>
        <w:spacing w:after="0" w:line="376" w:lineRule="exact"/>
        <w:rPr>
          <w:sz w:val="20"/>
          <w:szCs w:val="20"/>
          <w:color w:val="auto"/>
        </w:rPr>
      </w:pPr>
    </w:p>
    <w:p>
      <w:pPr>
        <w:ind w:left="340" w:right="20"/>
        <w:spacing w:after="0" w:line="260" w:lineRule="auto"/>
        <w:rPr>
          <w:sz w:val="20"/>
          <w:szCs w:val="20"/>
          <w:color w:val="auto"/>
        </w:rPr>
      </w:pPr>
      <w:r>
        <w:rPr>
          <w:rFonts w:ascii="Times New Roman" w:cs="Times New Roman" w:eastAsia="Times New Roman" w:hAnsi="Times New Roman"/>
          <w:sz w:val="19"/>
          <w:szCs w:val="19"/>
          <w:color w:val="231F20"/>
        </w:rPr>
        <w:t>The following are the primary procedures we performed to address this critical audit matter. We evaluated the design and tested the operating effectiveness of certain internal controls related to revenue recognition for certain R&amp;D services. This included controls related to the Company’s process to develop and review the estimate of total costs expected to be incurred in satisfying certain R&amp;D performance obligations, including the assessment of the nature of the work to be performed. For a selection of R&amp;D performance obligations, we read the underlying contract with the customer, evaluated the determination of the method for measuring progress, and tested the Company’s estimate of total contract costs to be incurred by (1) comparing the Company’s initial estimates to actual costs incurred to assess the Company’s ability to estimate accurately, (2) inspecting underlying documentation and third-party evidence and comparing them to management’s assumptions and inputs, and (3) inquiring of R&amp;D personnel of the Company to evaluate factors related to the nature of the work to be performed and their impact on the total contract costs to be incurred, including progress to date and the estimate of remaining contract costs.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/s/ KPMG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have served as the Company’s auditor since 2015.</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Boston, Massachusetts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w:t>
      </w:r>
    </w:p>
    <w:p>
      <w:pPr>
        <w:sectPr>
          <w:pgSz w:w="11880" w:h="15480" w:orient="portrait"/>
          <w:cols w:equalWidth="0" w:num="1">
            <w:col w:w="10440"/>
          </w:cols>
          <w:pgMar w:left="700" w:top="968" w:right="740" w:bottom="213"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b w:val="1"/>
          <w:bCs w:val="1"/>
          <w:color w:val="231F20"/>
        </w:rPr>
        <w:t>WAVE LIFE SCIENCES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BALANCE SHEETS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(In thousands, except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1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24"/>
        </w:trPr>
        <w:tc>
          <w:tcPr>
            <w:tcW w:w="701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b w:val="1"/>
                <w:bCs w:val="1"/>
                <w:color w:val="231F20"/>
              </w:rPr>
              <w:t>Assets</w:t>
            </w:r>
          </w:p>
        </w:tc>
        <w:tc>
          <w:tcPr>
            <w:tcW w:w="17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80" w:type="dxa"/>
            <w:vAlign w:val="bottom"/>
            <w:tcBorders>
              <w:top w:val="single" w:sz="8" w:color="231F20"/>
            </w:tcBorders>
            <w:shd w:val="clear" w:color="auto" w:fill="E2E3E4"/>
          </w:tcPr>
          <w:p>
            <w:pPr>
              <w:spacing w:after="0"/>
              <w:rPr>
                <w:sz w:val="19"/>
                <w:szCs w:val="19"/>
                <w:color w:val="auto"/>
              </w:rPr>
            </w:pPr>
          </w:p>
        </w:tc>
        <w:tc>
          <w:tcPr>
            <w:tcW w:w="1360" w:type="dxa"/>
            <w:vAlign w:val="bottom"/>
            <w:tcBorders>
              <w:top w:val="single" w:sz="8" w:color="231F20"/>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80" w:type="dxa"/>
            <w:vAlign w:val="bottom"/>
            <w:tcBorders>
              <w:top w:val="single" w:sz="8" w:color="E2E3E4"/>
            </w:tcBorders>
            <w:shd w:val="clear" w:color="auto" w:fill="E2E3E4"/>
          </w:tcPr>
          <w:p>
            <w:pPr>
              <w:spacing w:after="0"/>
              <w:rPr>
                <w:sz w:val="19"/>
                <w:szCs w:val="19"/>
                <w:color w:val="auto"/>
              </w:rPr>
            </w:pPr>
          </w:p>
        </w:tc>
        <w:tc>
          <w:tcPr>
            <w:tcW w:w="16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spacing w:after="0"/>
              <w:rPr>
                <w:sz w:val="19"/>
                <w:szCs w:val="19"/>
                <w:color w:val="auto"/>
              </w:rPr>
            </w:pPr>
          </w:p>
        </w:tc>
        <w:tc>
          <w:tcPr>
            <w:tcW w:w="1360" w:type="dxa"/>
            <w:vAlign w:val="bottom"/>
            <w:tcBorders>
              <w:top w:val="single" w:sz="8" w:color="231F20"/>
            </w:tcBorders>
            <w:shd w:val="clear" w:color="auto" w:fill="E2E3E4"/>
          </w:tcPr>
          <w:p>
            <w:pPr>
              <w:spacing w:after="0"/>
              <w:rPr>
                <w:sz w:val="19"/>
                <w:szCs w:val="19"/>
                <w:color w:val="auto"/>
              </w:rPr>
            </w:pPr>
          </w:p>
        </w:tc>
        <w:tc>
          <w:tcPr>
            <w:tcW w:w="100" w:type="dxa"/>
            <w:vAlign w:val="bottom"/>
            <w:tcBorders>
              <w:top w:val="single" w:sz="8" w:color="E2E3E4"/>
            </w:tcBorders>
            <w:shd w:val="clear" w:color="auto" w:fill="E2E3E4"/>
          </w:tcPr>
          <w:p>
            <w:pPr>
              <w:spacing w:after="0"/>
              <w:rPr>
                <w:sz w:val="19"/>
                <w:szCs w:val="19"/>
                <w:color w:val="auto"/>
              </w:rPr>
            </w:pPr>
          </w:p>
        </w:tc>
      </w:tr>
      <w:tr>
        <w:trPr>
          <w:trHeight w:val="237"/>
        </w:trPr>
        <w:tc>
          <w:tcPr>
            <w:tcW w:w="7010" w:type="dxa"/>
            <w:vAlign w:val="bottom"/>
          </w:tcPr>
          <w:p>
            <w:pPr>
              <w:spacing w:after="0"/>
              <w:rPr>
                <w:sz w:val="20"/>
                <w:szCs w:val="20"/>
                <w:color w:val="auto"/>
              </w:rPr>
            </w:pPr>
            <w:r>
              <w:rPr>
                <w:rFonts w:ascii="Times New Roman" w:cs="Times New Roman" w:eastAsia="Times New Roman" w:hAnsi="Times New Roman"/>
                <w:sz w:val="19"/>
                <w:szCs w:val="19"/>
                <w:color w:val="231F20"/>
              </w:rPr>
              <w:t>Current assets:</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Cash and cash equivalents</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602,068</w:t>
            </w: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302,078</w:t>
            </w:r>
          </w:p>
        </w:tc>
        <w:tc>
          <w:tcPr>
            <w:tcW w:w="100" w:type="dxa"/>
            <w:vAlign w:val="bottom"/>
            <w:shd w:val="clear" w:color="auto" w:fill="E2E3E4"/>
          </w:tcPr>
          <w:p>
            <w:pPr>
              <w:spacing w:after="0"/>
              <w:rPr>
                <w:sz w:val="20"/>
                <w:szCs w:val="20"/>
                <w:color w:val="auto"/>
              </w:rPr>
            </w:pPr>
          </w:p>
        </w:tc>
      </w:tr>
      <w:tr>
        <w:trPr>
          <w:trHeight w:val="235"/>
        </w:trPr>
        <w:tc>
          <w:tcPr>
            <w:tcW w:w="701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Accounts receivable</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1,422</w:t>
            </w:r>
          </w:p>
        </w:tc>
        <w:tc>
          <w:tcPr>
            <w:tcW w:w="100" w:type="dxa"/>
            <w:vAlign w:val="bottom"/>
          </w:tcPr>
          <w:p>
            <w:pPr>
              <w:spacing w:after="0"/>
              <w:rPr>
                <w:sz w:val="20"/>
                <w:szCs w:val="20"/>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Prepaid expenses</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8,395</w:t>
            </w: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9,544</w:t>
            </w:r>
          </w:p>
        </w:tc>
        <w:tc>
          <w:tcPr>
            <w:tcW w:w="100" w:type="dxa"/>
            <w:vAlign w:val="bottom"/>
            <w:shd w:val="clear" w:color="auto" w:fill="E2E3E4"/>
          </w:tcPr>
          <w:p>
            <w:pPr>
              <w:spacing w:after="0"/>
              <w:rPr>
                <w:sz w:val="20"/>
                <w:szCs w:val="20"/>
                <w:color w:val="auto"/>
              </w:rPr>
            </w:pPr>
          </w:p>
        </w:tc>
      </w:tr>
      <w:tr>
        <w:trPr>
          <w:trHeight w:val="237"/>
        </w:trPr>
        <w:tc>
          <w:tcPr>
            <w:tcW w:w="7010" w:type="dxa"/>
            <w:vAlign w:val="bottom"/>
            <w:tcBorders>
              <w:bottom w:val="single" w:sz="8" w:color="E2E3E4"/>
            </w:tcBorders>
          </w:tcPr>
          <w:p>
            <w:pPr>
              <w:ind w:left="200"/>
              <w:spacing w:after="0"/>
              <w:rPr>
                <w:sz w:val="20"/>
                <w:szCs w:val="20"/>
                <w:color w:val="auto"/>
              </w:rPr>
            </w:pPr>
            <w:r>
              <w:rPr>
                <w:rFonts w:ascii="Times New Roman" w:cs="Times New Roman" w:eastAsia="Times New Roman" w:hAnsi="Times New Roman"/>
                <w:sz w:val="19"/>
                <w:szCs w:val="19"/>
                <w:color w:val="231F20"/>
              </w:rPr>
              <w:t>Other current assets</w:t>
            </w:r>
          </w:p>
        </w:tc>
        <w:tc>
          <w:tcPr>
            <w:tcW w:w="17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3,075</w:t>
            </w:r>
          </w:p>
        </w:tc>
        <w:tc>
          <w:tcPr>
            <w:tcW w:w="20" w:type="dxa"/>
            <w:vAlign w:val="bottom"/>
            <w:tcBorders>
              <w:bottom w:val="single" w:sz="8" w:color="231F20"/>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7,350</w:t>
            </w:r>
          </w:p>
        </w:tc>
        <w:tc>
          <w:tcPr>
            <w:tcW w:w="100" w:type="dxa"/>
            <w:vAlign w:val="bottom"/>
            <w:tcBorders>
              <w:bottom w:val="single" w:sz="8" w:color="E2E3E4"/>
            </w:tcBorders>
          </w:tcPr>
          <w:p>
            <w:pPr>
              <w:spacing w:after="0"/>
              <w:rPr>
                <w:sz w:val="20"/>
                <w:szCs w:val="20"/>
                <w:color w:val="auto"/>
              </w:rPr>
            </w:pPr>
          </w:p>
        </w:tc>
      </w:tr>
      <w:tr>
        <w:trPr>
          <w:trHeight w:val="224"/>
        </w:trPr>
        <w:tc>
          <w:tcPr>
            <w:tcW w:w="70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current assets</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614,814</w:t>
            </w: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320,394</w:t>
            </w:r>
          </w:p>
        </w:tc>
        <w:tc>
          <w:tcPr>
            <w:tcW w:w="100" w:type="dxa"/>
            <w:vAlign w:val="bottom"/>
            <w:shd w:val="clear" w:color="auto" w:fill="E2E3E4"/>
          </w:tcPr>
          <w:p>
            <w:pPr>
              <w:spacing w:after="0"/>
              <w:rPr>
                <w:sz w:val="19"/>
                <w:szCs w:val="19"/>
                <w:color w:val="auto"/>
              </w:rPr>
            </w:pPr>
          </w:p>
        </w:tc>
      </w:tr>
      <w:tr>
        <w:trPr>
          <w:trHeight w:val="237"/>
        </w:trPr>
        <w:tc>
          <w:tcPr>
            <w:tcW w:w="7010" w:type="dxa"/>
            <w:vAlign w:val="bottom"/>
          </w:tcPr>
          <w:p>
            <w:pPr>
              <w:spacing w:after="0"/>
              <w:rPr>
                <w:sz w:val="20"/>
                <w:szCs w:val="20"/>
                <w:color w:val="auto"/>
              </w:rPr>
            </w:pPr>
            <w:r>
              <w:rPr>
                <w:rFonts w:ascii="Times New Roman" w:cs="Times New Roman" w:eastAsia="Times New Roman" w:hAnsi="Times New Roman"/>
                <w:sz w:val="19"/>
                <w:szCs w:val="19"/>
                <w:color w:val="231F20"/>
              </w:rPr>
              <w:t>Long-term assets:</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Property and equipment, net of accumulated depreciation of $49,522 and $46,329</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r>
      <w:tr>
        <w:trPr>
          <w:trHeight w:val="223"/>
        </w:trPr>
        <w:tc>
          <w:tcPr>
            <w:tcW w:w="7010" w:type="dxa"/>
            <w:vAlign w:val="bottom"/>
            <w:shd w:val="clear" w:color="auto" w:fill="E2E3E4"/>
          </w:tcPr>
          <w:p>
            <w:pPr>
              <w:ind w:left="340"/>
              <w:spacing w:after="0"/>
              <w:rPr>
                <w:sz w:val="20"/>
                <w:szCs w:val="20"/>
                <w:color w:val="auto"/>
              </w:rPr>
            </w:pPr>
            <w:r>
              <w:rPr>
                <w:rFonts w:ascii="Times New Roman" w:cs="Times New Roman" w:eastAsia="Times New Roman" w:hAnsi="Times New Roman"/>
                <w:sz w:val="19"/>
                <w:szCs w:val="19"/>
                <w:color w:val="231F20"/>
              </w:rPr>
              <w:t>as of December 31, 2025 and 2024, respectively</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7,405</w:t>
            </w: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10,128</w:t>
            </w:r>
          </w:p>
        </w:tc>
        <w:tc>
          <w:tcPr>
            <w:tcW w:w="100" w:type="dxa"/>
            <w:vAlign w:val="bottom"/>
            <w:shd w:val="clear" w:color="auto" w:fill="E2E3E4"/>
          </w:tcPr>
          <w:p>
            <w:pPr>
              <w:spacing w:after="0"/>
              <w:rPr>
                <w:sz w:val="19"/>
                <w:szCs w:val="19"/>
                <w:color w:val="auto"/>
              </w:rPr>
            </w:pPr>
          </w:p>
        </w:tc>
      </w:tr>
      <w:tr>
        <w:trPr>
          <w:trHeight w:val="235"/>
        </w:trPr>
        <w:tc>
          <w:tcPr>
            <w:tcW w:w="701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Operating lease right-of-use assets</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17,870</w:t>
            </w:r>
          </w:p>
        </w:tc>
        <w:tc>
          <w:tcPr>
            <w:tcW w:w="100" w:type="dxa"/>
            <w:vAlign w:val="bottom"/>
          </w:tcPr>
          <w:p>
            <w:pPr>
              <w:spacing w:after="0"/>
              <w:rPr>
                <w:sz w:val="20"/>
                <w:szCs w:val="20"/>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Restricted cash</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3,806</w:t>
            </w: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3,760</w:t>
            </w:r>
          </w:p>
        </w:tc>
        <w:tc>
          <w:tcPr>
            <w:tcW w:w="100" w:type="dxa"/>
            <w:vAlign w:val="bottom"/>
            <w:shd w:val="clear" w:color="auto" w:fill="E2E3E4"/>
          </w:tcPr>
          <w:p>
            <w:pPr>
              <w:spacing w:after="0"/>
              <w:rPr>
                <w:sz w:val="20"/>
                <w:szCs w:val="20"/>
                <w:color w:val="auto"/>
              </w:rPr>
            </w:pPr>
          </w:p>
        </w:tc>
      </w:tr>
      <w:tr>
        <w:trPr>
          <w:trHeight w:val="237"/>
        </w:trPr>
        <w:tc>
          <w:tcPr>
            <w:tcW w:w="7010" w:type="dxa"/>
            <w:vAlign w:val="bottom"/>
            <w:tcBorders>
              <w:bottom w:val="single" w:sz="8" w:color="E2E3E4"/>
            </w:tcBorders>
          </w:tcPr>
          <w:p>
            <w:pPr>
              <w:ind w:left="200"/>
              <w:spacing w:after="0"/>
              <w:rPr>
                <w:sz w:val="20"/>
                <w:szCs w:val="20"/>
                <w:color w:val="auto"/>
              </w:rPr>
            </w:pPr>
            <w:r>
              <w:rPr>
                <w:rFonts w:ascii="Times New Roman" w:cs="Times New Roman" w:eastAsia="Times New Roman" w:hAnsi="Times New Roman"/>
                <w:sz w:val="19"/>
                <w:szCs w:val="19"/>
                <w:color w:val="231F20"/>
              </w:rPr>
              <w:t>Other assets</w:t>
            </w:r>
          </w:p>
        </w:tc>
        <w:tc>
          <w:tcPr>
            <w:tcW w:w="17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w:t>
            </w: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55</w:t>
            </w:r>
          </w:p>
        </w:tc>
        <w:tc>
          <w:tcPr>
            <w:tcW w:w="100" w:type="dxa"/>
            <w:vAlign w:val="bottom"/>
            <w:tcBorders>
              <w:bottom w:val="single" w:sz="8" w:color="E2E3E4"/>
            </w:tcBorders>
          </w:tcPr>
          <w:p>
            <w:pPr>
              <w:spacing w:after="0"/>
              <w:rPr>
                <w:sz w:val="20"/>
                <w:szCs w:val="20"/>
                <w:color w:val="auto"/>
              </w:rPr>
            </w:pPr>
          </w:p>
        </w:tc>
      </w:tr>
      <w:tr>
        <w:trPr>
          <w:trHeight w:val="224"/>
        </w:trPr>
        <w:tc>
          <w:tcPr>
            <w:tcW w:w="70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long-term assets</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tcBorders>
              <w:bottom w:val="single" w:sz="8" w:color="231F20"/>
            </w:tcBorders>
            <w:shd w:val="clear" w:color="auto" w:fill="E2E3E4"/>
          </w:tcPr>
          <w:p>
            <w:pPr>
              <w:spacing w:after="0"/>
              <w:rPr>
                <w:sz w:val="19"/>
                <w:szCs w:val="19"/>
                <w:color w:val="auto"/>
              </w:rPr>
            </w:pPr>
          </w:p>
        </w:tc>
        <w:tc>
          <w:tcPr>
            <w:tcW w:w="13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23,685</w:t>
            </w:r>
          </w:p>
        </w:tc>
        <w:tc>
          <w:tcPr>
            <w:tcW w:w="20" w:type="dxa"/>
            <w:vAlign w:val="bottom"/>
            <w:tcBorders>
              <w:bottom w:val="single" w:sz="8" w:color="231F20"/>
            </w:tcBorders>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tcBorders>
              <w:bottom w:val="single" w:sz="8" w:color="231F20"/>
            </w:tcBorders>
            <w:shd w:val="clear" w:color="auto" w:fill="E2E3E4"/>
          </w:tcPr>
          <w:p>
            <w:pPr>
              <w:spacing w:after="0"/>
              <w:rPr>
                <w:sz w:val="19"/>
                <w:szCs w:val="19"/>
                <w:color w:val="auto"/>
              </w:rPr>
            </w:pPr>
          </w:p>
        </w:tc>
        <w:tc>
          <w:tcPr>
            <w:tcW w:w="13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31,813</w:t>
            </w:r>
          </w:p>
        </w:tc>
        <w:tc>
          <w:tcPr>
            <w:tcW w:w="100" w:type="dxa"/>
            <w:vAlign w:val="bottom"/>
            <w:shd w:val="clear" w:color="auto" w:fill="E2E3E4"/>
          </w:tcPr>
          <w:p>
            <w:pPr>
              <w:spacing w:after="0"/>
              <w:rPr>
                <w:sz w:val="19"/>
                <w:szCs w:val="19"/>
                <w:color w:val="auto"/>
              </w:rPr>
            </w:pPr>
          </w:p>
        </w:tc>
      </w:tr>
      <w:tr>
        <w:trPr>
          <w:trHeight w:val="267"/>
        </w:trPr>
        <w:tc>
          <w:tcPr>
            <w:tcW w:w="701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Total assets</w:t>
            </w:r>
          </w:p>
        </w:tc>
        <w:tc>
          <w:tcPr>
            <w:tcW w:w="190" w:type="dxa"/>
            <w:vAlign w:val="bottom"/>
            <w:tcBorders>
              <w:bottom w:val="single" w:sz="8" w:color="E2E3E4"/>
            </w:tcBorders>
            <w:gridSpan w:val="2"/>
          </w:tcPr>
          <w:p>
            <w:pPr>
              <w:spacing w:after="0"/>
              <w:rPr>
                <w:sz w:val="23"/>
                <w:szCs w:val="23"/>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638,499</w:t>
            </w:r>
          </w:p>
        </w:tc>
        <w:tc>
          <w:tcPr>
            <w:tcW w:w="20" w:type="dxa"/>
            <w:vAlign w:val="bottom"/>
            <w:tcBorders>
              <w:bottom w:val="single" w:sz="8" w:color="E2E3E4"/>
            </w:tcBorders>
          </w:tcPr>
          <w:p>
            <w:pPr>
              <w:spacing w:after="0"/>
              <w:rPr>
                <w:sz w:val="23"/>
                <w:szCs w:val="23"/>
                <w:color w:val="auto"/>
              </w:rPr>
            </w:pPr>
          </w:p>
        </w:tc>
        <w:tc>
          <w:tcPr>
            <w:tcW w:w="80" w:type="dxa"/>
            <w:vAlign w:val="bottom"/>
            <w:tcBorders>
              <w:bottom w:val="single" w:sz="8" w:color="E2E3E4"/>
            </w:tcBorders>
          </w:tcPr>
          <w:p>
            <w:pPr>
              <w:spacing w:after="0"/>
              <w:rPr>
                <w:sz w:val="23"/>
                <w:szCs w:val="23"/>
                <w:color w:val="auto"/>
              </w:rPr>
            </w:pPr>
          </w:p>
        </w:tc>
        <w:tc>
          <w:tcPr>
            <w:tcW w:w="160" w:type="dxa"/>
            <w:vAlign w:val="bottom"/>
            <w:tcBorders>
              <w:bottom w:val="single" w:sz="8" w:color="E2E3E4"/>
            </w:tcBorders>
          </w:tcPr>
          <w:p>
            <w:pPr>
              <w:spacing w:after="0"/>
              <w:rPr>
                <w:sz w:val="23"/>
                <w:szCs w:val="23"/>
                <w:color w:val="auto"/>
              </w:rPr>
            </w:pPr>
          </w:p>
        </w:tc>
        <w:tc>
          <w:tcPr>
            <w:tcW w:w="20" w:type="dxa"/>
            <w:vAlign w:val="bottom"/>
            <w:tcBorders>
              <w:bottom w:val="single" w:sz="8" w:color="E2E3E4"/>
            </w:tcBorders>
          </w:tcPr>
          <w:p>
            <w:pPr>
              <w:spacing w:after="0"/>
              <w:rPr>
                <w:sz w:val="23"/>
                <w:szCs w:val="23"/>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352,207</w:t>
            </w:r>
          </w:p>
        </w:tc>
        <w:tc>
          <w:tcPr>
            <w:tcW w:w="100" w:type="dxa"/>
            <w:vAlign w:val="bottom"/>
            <w:tcBorders>
              <w:bottom w:val="single" w:sz="8" w:color="E2E3E4"/>
            </w:tcBorders>
          </w:tcPr>
          <w:p>
            <w:pPr>
              <w:spacing w:after="0"/>
              <w:rPr>
                <w:sz w:val="23"/>
                <w:szCs w:val="23"/>
                <w:color w:val="auto"/>
              </w:rPr>
            </w:pPr>
          </w:p>
        </w:tc>
      </w:tr>
      <w:tr>
        <w:trPr>
          <w:trHeight w:val="222"/>
        </w:trPr>
        <w:tc>
          <w:tcPr>
            <w:tcW w:w="70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b w:val="1"/>
                <w:bCs w:val="1"/>
                <w:color w:val="231F20"/>
              </w:rPr>
              <w:t>Liabilities, Series A preferred shares and shareholders’ equity</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35"/>
        </w:trPr>
        <w:tc>
          <w:tcPr>
            <w:tcW w:w="7010" w:type="dxa"/>
            <w:vAlign w:val="bottom"/>
          </w:tcPr>
          <w:p>
            <w:pPr>
              <w:spacing w:after="0"/>
              <w:rPr>
                <w:sz w:val="20"/>
                <w:szCs w:val="20"/>
                <w:color w:val="auto"/>
              </w:rPr>
            </w:pPr>
            <w:r>
              <w:rPr>
                <w:rFonts w:ascii="Times New Roman" w:cs="Times New Roman" w:eastAsia="Times New Roman" w:hAnsi="Times New Roman"/>
                <w:sz w:val="19"/>
                <w:szCs w:val="19"/>
                <w:color w:val="231F20"/>
              </w:rPr>
              <w:t>Current liabilities:</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Accounts payable</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15,700</w:t>
            </w: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16,262</w:t>
            </w:r>
          </w:p>
        </w:tc>
        <w:tc>
          <w:tcPr>
            <w:tcW w:w="100" w:type="dxa"/>
            <w:vAlign w:val="bottom"/>
            <w:shd w:val="clear" w:color="auto" w:fill="E2E3E4"/>
          </w:tcPr>
          <w:p>
            <w:pPr>
              <w:spacing w:after="0"/>
              <w:rPr>
                <w:sz w:val="20"/>
                <w:szCs w:val="20"/>
                <w:color w:val="auto"/>
              </w:rPr>
            </w:pPr>
          </w:p>
        </w:tc>
      </w:tr>
      <w:tr>
        <w:trPr>
          <w:trHeight w:val="237"/>
        </w:trPr>
        <w:tc>
          <w:tcPr>
            <w:tcW w:w="701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Accrued expenses and other current liabilities</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26,564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21,081</w:t>
            </w:r>
          </w:p>
        </w:tc>
        <w:tc>
          <w:tcPr>
            <w:tcW w:w="100" w:type="dxa"/>
            <w:vAlign w:val="bottom"/>
          </w:tcPr>
          <w:p>
            <w:pPr>
              <w:spacing w:after="0"/>
              <w:rPr>
                <w:sz w:val="20"/>
                <w:szCs w:val="20"/>
                <w:color w:val="auto"/>
              </w:rPr>
            </w:pPr>
          </w:p>
        </w:tc>
      </w:tr>
      <w:tr>
        <w:trPr>
          <w:trHeight w:val="235"/>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Current portion of deferred revenue</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44,440</w:t>
            </w: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65,972</w:t>
            </w:r>
          </w:p>
        </w:tc>
        <w:tc>
          <w:tcPr>
            <w:tcW w:w="100" w:type="dxa"/>
            <w:vAlign w:val="bottom"/>
            <w:shd w:val="clear" w:color="auto" w:fill="E2E3E4"/>
          </w:tcPr>
          <w:p>
            <w:pPr>
              <w:spacing w:after="0"/>
              <w:rPr>
                <w:sz w:val="20"/>
                <w:szCs w:val="20"/>
                <w:color w:val="auto"/>
              </w:rPr>
            </w:pPr>
          </w:p>
        </w:tc>
      </w:tr>
      <w:tr>
        <w:trPr>
          <w:trHeight w:val="237"/>
        </w:trPr>
        <w:tc>
          <w:tcPr>
            <w:tcW w:w="7010" w:type="dxa"/>
            <w:vAlign w:val="bottom"/>
            <w:tcBorders>
              <w:bottom w:val="single" w:sz="8" w:color="E2E3E4"/>
            </w:tcBorders>
          </w:tcPr>
          <w:p>
            <w:pPr>
              <w:ind w:left="200"/>
              <w:spacing w:after="0"/>
              <w:rPr>
                <w:sz w:val="20"/>
                <w:szCs w:val="20"/>
                <w:color w:val="auto"/>
              </w:rPr>
            </w:pPr>
            <w:r>
              <w:rPr>
                <w:rFonts w:ascii="Times New Roman" w:cs="Times New Roman" w:eastAsia="Times New Roman" w:hAnsi="Times New Roman"/>
                <w:sz w:val="19"/>
                <w:szCs w:val="19"/>
                <w:color w:val="231F20"/>
              </w:rPr>
              <w:t>Current portion of operating lease liability</w:t>
            </w:r>
          </w:p>
        </w:tc>
        <w:tc>
          <w:tcPr>
            <w:tcW w:w="17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8,361</w:t>
            </w: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7,638</w:t>
            </w:r>
          </w:p>
        </w:tc>
        <w:tc>
          <w:tcPr>
            <w:tcW w:w="100" w:type="dxa"/>
            <w:vAlign w:val="bottom"/>
            <w:tcBorders>
              <w:bottom w:val="single" w:sz="8" w:color="E2E3E4"/>
            </w:tcBorders>
          </w:tcPr>
          <w:p>
            <w:pPr>
              <w:spacing w:after="0"/>
              <w:rPr>
                <w:sz w:val="20"/>
                <w:szCs w:val="20"/>
                <w:color w:val="auto"/>
              </w:rPr>
            </w:pPr>
          </w:p>
        </w:tc>
      </w:tr>
      <w:tr>
        <w:trPr>
          <w:trHeight w:val="227"/>
        </w:trPr>
        <w:tc>
          <w:tcPr>
            <w:tcW w:w="70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current liabilities</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95,065</w:t>
            </w: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110,953</w:t>
            </w:r>
          </w:p>
        </w:tc>
        <w:tc>
          <w:tcPr>
            <w:tcW w:w="100" w:type="dxa"/>
            <w:vAlign w:val="bottom"/>
            <w:shd w:val="clear" w:color="auto" w:fill="E2E3E4"/>
          </w:tcPr>
          <w:p>
            <w:pPr>
              <w:spacing w:after="0"/>
              <w:rPr>
                <w:sz w:val="19"/>
                <w:szCs w:val="19"/>
                <w:color w:val="auto"/>
              </w:rPr>
            </w:pPr>
          </w:p>
        </w:tc>
      </w:tr>
      <w:tr>
        <w:trPr>
          <w:trHeight w:val="235"/>
        </w:trPr>
        <w:tc>
          <w:tcPr>
            <w:tcW w:w="7010" w:type="dxa"/>
            <w:vAlign w:val="bottom"/>
          </w:tcPr>
          <w:p>
            <w:pPr>
              <w:spacing w:after="0"/>
              <w:rPr>
                <w:sz w:val="20"/>
                <w:szCs w:val="20"/>
                <w:color w:val="auto"/>
              </w:rPr>
            </w:pPr>
            <w:r>
              <w:rPr>
                <w:rFonts w:ascii="Times New Roman" w:cs="Times New Roman" w:eastAsia="Times New Roman" w:hAnsi="Times New Roman"/>
                <w:sz w:val="19"/>
                <w:szCs w:val="19"/>
                <w:color w:val="231F20"/>
              </w:rPr>
              <w:t>Long-term liabilities:</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Deferred revenue, net of current portion</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7,798</w:t>
            </w: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6,099</w:t>
            </w:r>
          </w:p>
        </w:tc>
        <w:tc>
          <w:tcPr>
            <w:tcW w:w="100" w:type="dxa"/>
            <w:vAlign w:val="bottom"/>
            <w:shd w:val="clear" w:color="auto" w:fill="E2E3E4"/>
          </w:tcPr>
          <w:p>
            <w:pPr>
              <w:spacing w:after="0"/>
              <w:rPr>
                <w:sz w:val="20"/>
                <w:szCs w:val="20"/>
                <w:color w:val="auto"/>
              </w:rPr>
            </w:pPr>
          </w:p>
        </w:tc>
      </w:tr>
      <w:tr>
        <w:trPr>
          <w:trHeight w:val="237"/>
        </w:trPr>
        <w:tc>
          <w:tcPr>
            <w:tcW w:w="7010" w:type="dxa"/>
            <w:vAlign w:val="bottom"/>
            <w:tcBorders>
              <w:bottom w:val="single" w:sz="8" w:color="E2E3E4"/>
            </w:tcBorders>
          </w:tcPr>
          <w:p>
            <w:pPr>
              <w:ind w:left="200"/>
              <w:spacing w:after="0"/>
              <w:rPr>
                <w:sz w:val="20"/>
                <w:szCs w:val="20"/>
                <w:color w:val="auto"/>
              </w:rPr>
            </w:pPr>
            <w:r>
              <w:rPr>
                <w:rFonts w:ascii="Times New Roman" w:cs="Times New Roman" w:eastAsia="Times New Roman" w:hAnsi="Times New Roman"/>
                <w:sz w:val="19"/>
                <w:szCs w:val="19"/>
                <w:color w:val="231F20"/>
              </w:rPr>
              <w:t>Operating lease liability, net of current portion</w:t>
            </w:r>
          </w:p>
        </w:tc>
        <w:tc>
          <w:tcPr>
            <w:tcW w:w="17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9,405</w:t>
            </w: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17,766</w:t>
            </w:r>
          </w:p>
        </w:tc>
        <w:tc>
          <w:tcPr>
            <w:tcW w:w="100" w:type="dxa"/>
            <w:vAlign w:val="bottom"/>
            <w:tcBorders>
              <w:bottom w:val="single" w:sz="8" w:color="E2E3E4"/>
            </w:tcBorders>
          </w:tcPr>
          <w:p>
            <w:pPr>
              <w:spacing w:after="0"/>
              <w:rPr>
                <w:sz w:val="20"/>
                <w:szCs w:val="20"/>
                <w:color w:val="auto"/>
              </w:rPr>
            </w:pPr>
          </w:p>
        </w:tc>
      </w:tr>
      <w:tr>
        <w:trPr>
          <w:trHeight w:val="247"/>
        </w:trPr>
        <w:tc>
          <w:tcPr>
            <w:tcW w:w="7010" w:type="dxa"/>
            <w:vAlign w:val="bottom"/>
            <w:tcBorders>
              <w:bottom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long-term liabilities</w:t>
            </w:r>
          </w:p>
        </w:tc>
        <w:tc>
          <w:tcPr>
            <w:tcW w:w="170" w:type="dxa"/>
            <w:vAlign w:val="bottom"/>
            <w:tcBorders>
              <w:bottom w:val="single" w:sz="8" w:color="E2E3E4"/>
            </w:tcBorders>
            <w:shd w:val="clear" w:color="auto" w:fill="E2E3E4"/>
          </w:tcPr>
          <w:p>
            <w:pPr>
              <w:spacing w:after="0"/>
              <w:rPr>
                <w:sz w:val="21"/>
                <w:szCs w:val="21"/>
                <w:color w:val="auto"/>
              </w:rPr>
            </w:pPr>
          </w:p>
        </w:tc>
        <w:tc>
          <w:tcPr>
            <w:tcW w:w="20" w:type="dxa"/>
            <w:vAlign w:val="bottom"/>
            <w:tcBorders>
              <w:bottom w:val="single" w:sz="8" w:color="E2E3E4"/>
            </w:tcBorders>
            <w:shd w:val="clear" w:color="auto" w:fill="E2E3E4"/>
          </w:tcPr>
          <w:p>
            <w:pPr>
              <w:spacing w:after="0"/>
              <w:rPr>
                <w:sz w:val="21"/>
                <w:szCs w:val="21"/>
                <w:color w:val="auto"/>
              </w:rPr>
            </w:pPr>
          </w:p>
        </w:tc>
        <w:tc>
          <w:tcPr>
            <w:tcW w:w="80" w:type="dxa"/>
            <w:vAlign w:val="bottom"/>
            <w:tcBorders>
              <w:bottom w:val="single" w:sz="8" w:color="231F20"/>
            </w:tcBorders>
            <w:shd w:val="clear" w:color="auto" w:fill="E2E3E4"/>
          </w:tcPr>
          <w:p>
            <w:pPr>
              <w:spacing w:after="0"/>
              <w:rPr>
                <w:sz w:val="21"/>
                <w:szCs w:val="21"/>
                <w:color w:val="auto"/>
              </w:rPr>
            </w:pPr>
          </w:p>
        </w:tc>
        <w:tc>
          <w:tcPr>
            <w:tcW w:w="13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17,203</w:t>
            </w:r>
          </w:p>
        </w:tc>
        <w:tc>
          <w:tcPr>
            <w:tcW w:w="20" w:type="dxa"/>
            <w:vAlign w:val="bottom"/>
            <w:tcBorders>
              <w:bottom w:val="single" w:sz="8" w:color="231F20"/>
            </w:tcBorders>
            <w:shd w:val="clear" w:color="auto" w:fill="E2E3E4"/>
          </w:tcPr>
          <w:p>
            <w:pPr>
              <w:spacing w:after="0"/>
              <w:rPr>
                <w:sz w:val="21"/>
                <w:szCs w:val="21"/>
                <w:color w:val="auto"/>
              </w:rPr>
            </w:pPr>
          </w:p>
        </w:tc>
        <w:tc>
          <w:tcPr>
            <w:tcW w:w="80" w:type="dxa"/>
            <w:vAlign w:val="bottom"/>
            <w:tcBorders>
              <w:bottom w:val="single" w:sz="8" w:color="E2E3E4"/>
            </w:tcBorders>
            <w:shd w:val="clear" w:color="auto" w:fill="E2E3E4"/>
          </w:tcPr>
          <w:p>
            <w:pPr>
              <w:spacing w:after="0"/>
              <w:rPr>
                <w:sz w:val="21"/>
                <w:szCs w:val="21"/>
                <w:color w:val="auto"/>
              </w:rPr>
            </w:pPr>
          </w:p>
        </w:tc>
        <w:tc>
          <w:tcPr>
            <w:tcW w:w="160" w:type="dxa"/>
            <w:vAlign w:val="bottom"/>
            <w:tcBorders>
              <w:bottom w:val="single" w:sz="8" w:color="E2E3E4"/>
            </w:tcBorders>
            <w:shd w:val="clear" w:color="auto" w:fill="E2E3E4"/>
          </w:tcPr>
          <w:p>
            <w:pPr>
              <w:spacing w:after="0"/>
              <w:rPr>
                <w:sz w:val="21"/>
                <w:szCs w:val="21"/>
                <w:color w:val="auto"/>
              </w:rPr>
            </w:pPr>
          </w:p>
        </w:tc>
        <w:tc>
          <w:tcPr>
            <w:tcW w:w="20" w:type="dxa"/>
            <w:vAlign w:val="bottom"/>
            <w:tcBorders>
              <w:bottom w:val="single" w:sz="8" w:color="E2E3E4"/>
            </w:tcBorders>
            <w:shd w:val="clear" w:color="auto" w:fill="E2E3E4"/>
          </w:tcPr>
          <w:p>
            <w:pPr>
              <w:spacing w:after="0"/>
              <w:rPr>
                <w:sz w:val="21"/>
                <w:szCs w:val="21"/>
                <w:color w:val="auto"/>
              </w:rPr>
            </w:pPr>
          </w:p>
        </w:tc>
        <w:tc>
          <w:tcPr>
            <w:tcW w:w="100" w:type="dxa"/>
            <w:vAlign w:val="bottom"/>
            <w:tcBorders>
              <w:bottom w:val="single" w:sz="8" w:color="231F20"/>
            </w:tcBorders>
            <w:shd w:val="clear" w:color="auto" w:fill="E2E3E4"/>
          </w:tcPr>
          <w:p>
            <w:pPr>
              <w:spacing w:after="0"/>
              <w:rPr>
                <w:sz w:val="21"/>
                <w:szCs w:val="21"/>
                <w:color w:val="auto"/>
              </w:rPr>
            </w:pPr>
          </w:p>
        </w:tc>
        <w:tc>
          <w:tcPr>
            <w:tcW w:w="13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23,865</w:t>
            </w:r>
          </w:p>
        </w:tc>
        <w:tc>
          <w:tcPr>
            <w:tcW w:w="100" w:type="dxa"/>
            <w:vAlign w:val="bottom"/>
            <w:tcBorders>
              <w:bottom w:val="single" w:sz="8" w:color="E2E3E4"/>
            </w:tcBorders>
            <w:shd w:val="clear" w:color="auto" w:fill="E2E3E4"/>
          </w:tcPr>
          <w:p>
            <w:pPr>
              <w:spacing w:after="0"/>
              <w:rPr>
                <w:sz w:val="21"/>
                <w:szCs w:val="21"/>
                <w:color w:val="auto"/>
              </w:rPr>
            </w:pPr>
          </w:p>
        </w:tc>
      </w:tr>
      <w:tr>
        <w:trPr>
          <w:trHeight w:val="204"/>
        </w:trPr>
        <w:tc>
          <w:tcPr>
            <w:tcW w:w="7010" w:type="dxa"/>
            <w:vAlign w:val="bottom"/>
            <w:tcBorders>
              <w:bottom w:val="single" w:sz="8" w:color="E2E3E4"/>
            </w:tcBorders>
          </w:tcPr>
          <w:p>
            <w:pPr>
              <w:spacing w:after="0" w:line="204" w:lineRule="exact"/>
              <w:rPr>
                <w:sz w:val="20"/>
                <w:szCs w:val="20"/>
                <w:color w:val="auto"/>
              </w:rPr>
            </w:pPr>
            <w:r>
              <w:rPr>
                <w:rFonts w:ascii="Times New Roman" w:cs="Times New Roman" w:eastAsia="Times New Roman" w:hAnsi="Times New Roman"/>
                <w:sz w:val="19"/>
                <w:szCs w:val="19"/>
                <w:color w:val="231F20"/>
              </w:rPr>
              <w:t>Total liabilities</w:t>
            </w:r>
          </w:p>
        </w:tc>
        <w:tc>
          <w:tcPr>
            <w:tcW w:w="190" w:type="dxa"/>
            <w:vAlign w:val="bottom"/>
            <w:tcBorders>
              <w:bottom w:val="single" w:sz="8" w:color="E2E3E4"/>
            </w:tcBorders>
            <w:gridSpan w:val="2"/>
          </w:tcPr>
          <w:p>
            <w:pPr>
              <w:spacing w:after="0"/>
              <w:rPr>
                <w:sz w:val="17"/>
                <w:szCs w:val="17"/>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112,268</w:t>
            </w:r>
          </w:p>
        </w:tc>
        <w:tc>
          <w:tcPr>
            <w:tcW w:w="20" w:type="dxa"/>
            <w:vAlign w:val="bottom"/>
            <w:tcBorders>
              <w:bottom w:val="single" w:sz="8" w:color="231F20"/>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1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w w:val="83"/>
              </w:rPr>
              <w:t>$</w:t>
            </w:r>
          </w:p>
        </w:tc>
        <w:tc>
          <w:tcPr>
            <w:tcW w:w="13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134,818</w:t>
            </w:r>
          </w:p>
        </w:tc>
        <w:tc>
          <w:tcPr>
            <w:tcW w:w="100" w:type="dxa"/>
            <w:vAlign w:val="bottom"/>
            <w:tcBorders>
              <w:bottom w:val="single" w:sz="8" w:color="E2E3E4"/>
            </w:tcBorders>
          </w:tcPr>
          <w:p>
            <w:pPr>
              <w:spacing w:after="0"/>
              <w:rPr>
                <w:sz w:val="17"/>
                <w:szCs w:val="17"/>
                <w:color w:val="auto"/>
              </w:rPr>
            </w:pPr>
          </w:p>
        </w:tc>
      </w:tr>
      <w:tr>
        <w:trPr>
          <w:trHeight w:val="227"/>
        </w:trPr>
        <w:tc>
          <w:tcPr>
            <w:tcW w:w="70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Series A preferred shares, no par value; 3,901,348 shares issued</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23"/>
        </w:trPr>
        <w:tc>
          <w:tcPr>
            <w:tcW w:w="7010" w:type="dxa"/>
            <w:vAlign w:val="bottom"/>
            <w:shd w:val="clear" w:color="auto" w:fill="E2E3E4"/>
          </w:tcPr>
          <w:p>
            <w:pPr>
              <w:ind w:left="140"/>
              <w:spacing w:after="0"/>
              <w:rPr>
                <w:sz w:val="20"/>
                <w:szCs w:val="20"/>
                <w:color w:val="auto"/>
              </w:rPr>
            </w:pPr>
            <w:r>
              <w:rPr>
                <w:rFonts w:ascii="Times New Roman" w:cs="Times New Roman" w:eastAsia="Times New Roman" w:hAnsi="Times New Roman"/>
                <w:sz w:val="19"/>
                <w:szCs w:val="19"/>
                <w:color w:val="231F20"/>
              </w:rPr>
              <w:t>and outstanding at December 31, 2025 and 2024</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3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7,874</w:t>
            </w:r>
          </w:p>
        </w:tc>
        <w:tc>
          <w:tcPr>
            <w:tcW w:w="20" w:type="dxa"/>
            <w:vAlign w:val="bottom"/>
            <w:tcBorders>
              <w:bottom w:val="single" w:sz="8" w:color="231F20"/>
            </w:tcBorders>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7,874</w:t>
            </w:r>
          </w:p>
        </w:tc>
        <w:tc>
          <w:tcPr>
            <w:tcW w:w="100" w:type="dxa"/>
            <w:vAlign w:val="bottom"/>
            <w:shd w:val="clear" w:color="auto" w:fill="E2E3E4"/>
          </w:tcPr>
          <w:p>
            <w:pPr>
              <w:spacing w:after="0"/>
              <w:rPr>
                <w:sz w:val="19"/>
                <w:szCs w:val="19"/>
                <w:color w:val="auto"/>
              </w:rPr>
            </w:pPr>
          </w:p>
        </w:tc>
      </w:tr>
      <w:tr>
        <w:trPr>
          <w:trHeight w:val="227"/>
        </w:trPr>
        <w:tc>
          <w:tcPr>
            <w:tcW w:w="7010" w:type="dxa"/>
            <w:vAlign w:val="bottom"/>
          </w:tcPr>
          <w:p>
            <w:pPr>
              <w:spacing w:after="0"/>
              <w:rPr>
                <w:sz w:val="20"/>
                <w:szCs w:val="20"/>
                <w:color w:val="auto"/>
              </w:rPr>
            </w:pPr>
            <w:r>
              <w:rPr>
                <w:rFonts w:ascii="Times New Roman" w:cs="Times New Roman" w:eastAsia="Times New Roman" w:hAnsi="Times New Roman"/>
                <w:sz w:val="19"/>
                <w:szCs w:val="19"/>
                <w:color w:val="231F20"/>
              </w:rPr>
              <w:t>Shareholders’ equity:</w:t>
            </w:r>
          </w:p>
        </w:tc>
        <w:tc>
          <w:tcPr>
            <w:tcW w:w="1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Ordinary shares, no par value; 187,660,263 and 153,037,286 shares issued</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r>
      <w:tr>
        <w:trPr>
          <w:trHeight w:val="221"/>
        </w:trPr>
        <w:tc>
          <w:tcPr>
            <w:tcW w:w="7010" w:type="dxa"/>
            <w:vAlign w:val="bottom"/>
            <w:shd w:val="clear" w:color="auto" w:fill="E2E3E4"/>
          </w:tcPr>
          <w:p>
            <w:pPr>
              <w:ind w:left="340"/>
              <w:spacing w:after="0"/>
              <w:rPr>
                <w:sz w:val="20"/>
                <w:szCs w:val="20"/>
                <w:color w:val="auto"/>
              </w:rPr>
            </w:pPr>
            <w:r>
              <w:rPr>
                <w:rFonts w:ascii="Times New Roman" w:cs="Times New Roman" w:eastAsia="Times New Roman" w:hAnsi="Times New Roman"/>
                <w:sz w:val="19"/>
                <w:szCs w:val="19"/>
                <w:color w:val="231F20"/>
              </w:rPr>
              <w:t>and outstanding at December 31, 2025 and 2024, respectively</w:t>
            </w:r>
          </w:p>
        </w:tc>
        <w:tc>
          <w:tcPr>
            <w:tcW w:w="17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1,616,478</w:t>
            </w:r>
          </w:p>
        </w:tc>
        <w:tc>
          <w:tcPr>
            <w:tcW w:w="2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1,175,181</w:t>
            </w:r>
          </w:p>
        </w:tc>
        <w:tc>
          <w:tcPr>
            <w:tcW w:w="100" w:type="dxa"/>
            <w:vAlign w:val="bottom"/>
            <w:shd w:val="clear" w:color="auto" w:fill="E2E3E4"/>
          </w:tcPr>
          <w:p>
            <w:pPr>
              <w:spacing w:after="0"/>
              <w:rPr>
                <w:sz w:val="19"/>
                <w:szCs w:val="19"/>
                <w:color w:val="auto"/>
              </w:rPr>
            </w:pPr>
          </w:p>
        </w:tc>
      </w:tr>
      <w:tr>
        <w:trPr>
          <w:trHeight w:val="237"/>
        </w:trPr>
        <w:tc>
          <w:tcPr>
            <w:tcW w:w="701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Additional paid-in capital</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228,365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156,454</w:t>
            </w:r>
          </w:p>
        </w:tc>
        <w:tc>
          <w:tcPr>
            <w:tcW w:w="100" w:type="dxa"/>
            <w:vAlign w:val="bottom"/>
          </w:tcPr>
          <w:p>
            <w:pPr>
              <w:spacing w:after="0"/>
              <w:rPr>
                <w:sz w:val="20"/>
                <w:szCs w:val="20"/>
                <w:color w:val="auto"/>
              </w:rPr>
            </w:pPr>
          </w:p>
        </w:tc>
      </w:tr>
      <w:tr>
        <w:trPr>
          <w:trHeight w:val="237"/>
        </w:trPr>
        <w:tc>
          <w:tcPr>
            <w:tcW w:w="701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Accumulated other comprehensive loss</w:t>
            </w:r>
          </w:p>
        </w:tc>
        <w:tc>
          <w:tcPr>
            <w:tcW w:w="17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(250</w:t>
            </w:r>
          </w:p>
        </w:tc>
        <w:tc>
          <w:tcPr>
            <w:tcW w:w="100" w:type="dxa"/>
            <w:vAlign w:val="bottom"/>
            <w:gridSpan w:val="2"/>
            <w:shd w:val="clear" w:color="auto" w:fill="E2E3E4"/>
          </w:tcPr>
          <w:p>
            <w:pPr>
              <w:jc w:val="right"/>
              <w:ind w:right="40"/>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(262</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235"/>
        </w:trPr>
        <w:tc>
          <w:tcPr>
            <w:tcW w:w="701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Accumulated deficit</w:t>
            </w:r>
          </w:p>
        </w:tc>
        <w:tc>
          <w:tcPr>
            <w:tcW w:w="1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(1,326,236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highlight w:val="white"/>
                <w:w w:val="74"/>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(1,121,858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highlight w:val="white"/>
                <w:w w:val="74"/>
              </w:rPr>
              <w:t>)</w:t>
            </w:r>
          </w:p>
        </w:tc>
      </w:tr>
      <w:tr>
        <w:trPr>
          <w:trHeight w:val="227"/>
        </w:trPr>
        <w:tc>
          <w:tcPr>
            <w:tcW w:w="701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shareholders’ equity</w:t>
            </w:r>
          </w:p>
        </w:tc>
        <w:tc>
          <w:tcPr>
            <w:tcW w:w="17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80" w:type="dxa"/>
            <w:vAlign w:val="bottom"/>
            <w:tcBorders>
              <w:top w:val="single" w:sz="8" w:color="231F20"/>
              <w:bottom w:val="single" w:sz="8" w:color="231F20"/>
            </w:tcBorders>
            <w:shd w:val="clear" w:color="auto" w:fill="E2E3E4"/>
          </w:tcPr>
          <w:p>
            <w:pPr>
              <w:spacing w:after="0"/>
              <w:rPr>
                <w:sz w:val="19"/>
                <w:szCs w:val="19"/>
                <w:color w:val="auto"/>
              </w:rPr>
            </w:pPr>
          </w:p>
        </w:tc>
        <w:tc>
          <w:tcPr>
            <w:tcW w:w="136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518,357</w:t>
            </w:r>
          </w:p>
        </w:tc>
        <w:tc>
          <w:tcPr>
            <w:tcW w:w="20" w:type="dxa"/>
            <w:vAlign w:val="bottom"/>
            <w:tcBorders>
              <w:top w:val="single" w:sz="8" w:color="231F20"/>
              <w:bottom w:val="single" w:sz="8" w:color="231F20"/>
            </w:tcBorders>
            <w:shd w:val="clear" w:color="auto" w:fill="E2E3E4"/>
          </w:tcPr>
          <w:p>
            <w:pPr>
              <w:spacing w:after="0"/>
              <w:rPr>
                <w:sz w:val="19"/>
                <w:szCs w:val="19"/>
                <w:color w:val="auto"/>
              </w:rPr>
            </w:pPr>
          </w:p>
        </w:tc>
        <w:tc>
          <w:tcPr>
            <w:tcW w:w="80" w:type="dxa"/>
            <w:vAlign w:val="bottom"/>
            <w:tcBorders>
              <w:top w:val="single" w:sz="8" w:color="E2E3E4"/>
            </w:tcBorders>
            <w:shd w:val="clear" w:color="auto" w:fill="E2E3E4"/>
          </w:tcPr>
          <w:p>
            <w:pPr>
              <w:spacing w:after="0"/>
              <w:rPr>
                <w:sz w:val="19"/>
                <w:szCs w:val="19"/>
                <w:color w:val="auto"/>
              </w:rPr>
            </w:pPr>
          </w:p>
        </w:tc>
        <w:tc>
          <w:tcPr>
            <w:tcW w:w="16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bottom w:val="single" w:sz="8" w:color="231F20"/>
            </w:tcBorders>
            <w:shd w:val="clear" w:color="auto" w:fill="E2E3E4"/>
          </w:tcPr>
          <w:p>
            <w:pPr>
              <w:spacing w:after="0"/>
              <w:rPr>
                <w:sz w:val="19"/>
                <w:szCs w:val="19"/>
                <w:color w:val="auto"/>
              </w:rPr>
            </w:pPr>
          </w:p>
        </w:tc>
        <w:tc>
          <w:tcPr>
            <w:tcW w:w="136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209,515</w:t>
            </w:r>
          </w:p>
        </w:tc>
        <w:tc>
          <w:tcPr>
            <w:tcW w:w="100" w:type="dxa"/>
            <w:vAlign w:val="bottom"/>
            <w:tcBorders>
              <w:top w:val="single" w:sz="8" w:color="E2E3E4"/>
            </w:tcBorders>
            <w:shd w:val="clear" w:color="auto" w:fill="E2E3E4"/>
          </w:tcPr>
          <w:p>
            <w:pPr>
              <w:spacing w:after="0"/>
              <w:rPr>
                <w:sz w:val="19"/>
                <w:szCs w:val="19"/>
                <w:color w:val="auto"/>
              </w:rPr>
            </w:pPr>
          </w:p>
        </w:tc>
      </w:tr>
      <w:tr>
        <w:trPr>
          <w:trHeight w:val="229"/>
        </w:trPr>
        <w:tc>
          <w:tcPr>
            <w:tcW w:w="7010" w:type="dxa"/>
            <w:vAlign w:val="bottom"/>
          </w:tcPr>
          <w:p>
            <w:pPr>
              <w:spacing w:after="0"/>
              <w:rPr>
                <w:sz w:val="20"/>
                <w:szCs w:val="20"/>
                <w:color w:val="auto"/>
              </w:rPr>
            </w:pPr>
            <w:r>
              <w:rPr>
                <w:rFonts w:ascii="Times New Roman" w:cs="Times New Roman" w:eastAsia="Times New Roman" w:hAnsi="Times New Roman"/>
                <w:sz w:val="19"/>
                <w:szCs w:val="19"/>
                <w:color w:val="231F20"/>
              </w:rPr>
              <w:t>Total liabilities, Series A preferred shares and shareholders’ equity</w:t>
            </w:r>
          </w:p>
        </w:tc>
        <w:tc>
          <w:tcPr>
            <w:tcW w:w="19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638,499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352,207</w:t>
            </w:r>
          </w:p>
        </w:tc>
        <w:tc>
          <w:tcPr>
            <w:tcW w:w="100" w:type="dxa"/>
            <w:vAlign w:val="bottom"/>
          </w:tcPr>
          <w:p>
            <w:pPr>
              <w:spacing w:after="0"/>
              <w:rPr>
                <w:sz w:val="19"/>
                <w:szCs w:val="19"/>
                <w:color w:val="auto"/>
              </w:rPr>
            </w:pPr>
          </w:p>
        </w:tc>
      </w:tr>
      <w:tr>
        <w:trPr>
          <w:trHeight w:val="20"/>
        </w:trPr>
        <w:tc>
          <w:tcPr>
            <w:tcW w:w="701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-4588510</wp:posOffset>
                </wp:positionV>
                <wp:extent cx="66516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1.2999pt" to="523.75pt,-361.2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5488305</wp:posOffset>
                </wp:positionH>
                <wp:positionV relativeFrom="paragraph">
                  <wp:posOffset>-3536950</wp:posOffset>
                </wp:positionV>
                <wp:extent cx="17272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15pt,-278.4999pt" to="445.75pt,-278.4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4564380</wp:posOffset>
                </wp:positionH>
                <wp:positionV relativeFrom="paragraph">
                  <wp:posOffset>-1683385</wp:posOffset>
                </wp:positionV>
                <wp:extent cx="92392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4pt,-132.5499pt" to="432.15pt,-132.5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5488305</wp:posOffset>
                </wp:positionH>
                <wp:positionV relativeFrom="paragraph">
                  <wp:posOffset>-1686560</wp:posOffset>
                </wp:positionV>
                <wp:extent cx="17272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15pt,-132.7999pt" to="445.75pt,-132.7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5661025</wp:posOffset>
                </wp:positionH>
                <wp:positionV relativeFrom="paragraph">
                  <wp:posOffset>-1683385</wp:posOffset>
                </wp:positionV>
                <wp:extent cx="9239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75pt,-132.5499pt" to="518.5pt,-132.5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5488305</wp:posOffset>
                </wp:positionH>
                <wp:positionV relativeFrom="paragraph">
                  <wp:posOffset>-1232535</wp:posOffset>
                </wp:positionV>
                <wp:extent cx="17272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15pt,-97.0499pt" to="445.75pt,-97.04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4564380</wp:posOffset>
                </wp:positionH>
                <wp:positionV relativeFrom="paragraph">
                  <wp:posOffset>-173990</wp:posOffset>
                </wp:positionV>
                <wp:extent cx="9239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4pt,-13.6999pt" to="432.15pt,-13.69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5488305</wp:posOffset>
                </wp:positionH>
                <wp:positionV relativeFrom="paragraph">
                  <wp:posOffset>-177165</wp:posOffset>
                </wp:positionV>
                <wp:extent cx="17272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15pt,-13.9499pt" to="445.75pt,-13.94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5661025</wp:posOffset>
                </wp:positionH>
                <wp:positionV relativeFrom="paragraph">
                  <wp:posOffset>-173990</wp:posOffset>
                </wp:positionV>
                <wp:extent cx="92392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75pt,-13.6999pt" to="518.5pt,-13.6999pt" o:allowincell="f" strokecolor="#FFFFFF" strokeweight="0.699pt"/>
            </w:pict>
          </mc:Fallback>
        </mc:AlternateConten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w:t>
      </w:r>
    </w:p>
    <w:p>
      <w:pPr>
        <w:sectPr>
          <w:pgSz w:w="11880" w:h="15480" w:orient="portrait"/>
          <w:cols w:equalWidth="0" w:num="1">
            <w:col w:w="10480"/>
          </w:cols>
          <w:pgMar w:left="700" w:top="961" w:right="700" w:bottom="213"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9"/>
          <w:szCs w:val="19"/>
          <w:b w:val="1"/>
          <w:bCs w:val="1"/>
          <w:color w:val="231F20"/>
        </w:rPr>
        <w:t>WAVE LIFE SCIENCES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OPERATIONS AND COMPREHENSIVE LOSS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3220" w:type="dxa"/>
            <w:vAlign w:val="bottom"/>
            <w:tcBorders>
              <w:bottom w:val="single" w:sz="8" w:color="231F20"/>
            </w:tcBorders>
            <w:gridSpan w:val="11"/>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102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60" w:type="dxa"/>
            <w:vAlign w:val="bottom"/>
            <w:tcBorders>
              <w:bottom w:val="single" w:sz="8" w:color="E2E3E4"/>
            </w:tcBorders>
          </w:tcPr>
          <w:p>
            <w:pPr>
              <w:spacing w:after="0"/>
              <w:rPr>
                <w:sz w:val="15"/>
                <w:szCs w:val="15"/>
                <w:color w:val="auto"/>
              </w:rPr>
            </w:pPr>
          </w:p>
        </w:tc>
        <w:tc>
          <w:tcPr>
            <w:tcW w:w="1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385"/>
              <w:spacing w:after="0" w:line="181" w:lineRule="exact"/>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2E3E4"/>
            </w:tcBorders>
          </w:tcPr>
          <w:p>
            <w:pPr>
              <w:spacing w:after="0"/>
              <w:rPr>
                <w:sz w:val="15"/>
                <w:szCs w:val="15"/>
                <w:color w:val="auto"/>
              </w:rPr>
            </w:pPr>
          </w:p>
        </w:tc>
        <w:tc>
          <w:tcPr>
            <w:tcW w:w="14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jc w:val="right"/>
              <w:ind w:right="404"/>
              <w:spacing w:after="0" w:line="181"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Pr>
          <w:p>
            <w:pPr>
              <w:spacing w:after="0"/>
              <w:rPr>
                <w:sz w:val="15"/>
                <w:szCs w:val="15"/>
                <w:color w:val="auto"/>
              </w:rPr>
            </w:pPr>
          </w:p>
        </w:tc>
        <w:tc>
          <w:tcPr>
            <w:tcW w:w="60" w:type="dxa"/>
            <w:vAlign w:val="bottom"/>
            <w:tcBorders>
              <w:bottom w:val="single" w:sz="8" w:color="E2E3E4"/>
            </w:tcBorders>
          </w:tcPr>
          <w:p>
            <w:pPr>
              <w:spacing w:after="0"/>
              <w:rPr>
                <w:sz w:val="15"/>
                <w:szCs w:val="15"/>
                <w:color w:val="auto"/>
              </w:rPr>
            </w:pPr>
          </w:p>
        </w:tc>
        <w:tc>
          <w:tcPr>
            <w:tcW w:w="1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404"/>
              <w:spacing w:after="0" w:line="181"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2E3E4"/>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Revenue</w:t>
            </w: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1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42,727</w:t>
            </w:r>
          </w:p>
        </w:tc>
        <w:tc>
          <w:tcPr>
            <w:tcW w:w="100" w:type="dxa"/>
            <w:vAlign w:val="bottom"/>
            <w:shd w:val="clear" w:color="auto" w:fill="E2E3E4"/>
          </w:tcPr>
          <w:p>
            <w:pPr>
              <w:spacing w:after="0"/>
              <w:rPr>
                <w:sz w:val="19"/>
                <w:szCs w:val="19"/>
                <w:color w:val="auto"/>
              </w:rPr>
            </w:pPr>
          </w:p>
        </w:tc>
        <w:tc>
          <w:tcPr>
            <w:tcW w:w="140" w:type="dxa"/>
            <w:vAlign w:val="bottom"/>
            <w:shd w:val="clear" w:color="auto" w:fill="E2E3E4"/>
          </w:tcPr>
          <w:p>
            <w:pPr>
              <w:spacing w:after="0"/>
              <w:rPr>
                <w:sz w:val="19"/>
                <w:szCs w:val="19"/>
                <w:color w:val="auto"/>
              </w:rPr>
            </w:pPr>
          </w:p>
        </w:tc>
        <w:tc>
          <w:tcPr>
            <w:tcW w:w="120" w:type="dxa"/>
            <w:vAlign w:val="bottom"/>
            <w:gridSpan w:val="2"/>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shd w:val="clear" w:color="auto" w:fill="E2E3E4"/>
              </w:rPr>
              <w:t>$</w:t>
            </w:r>
          </w:p>
        </w:tc>
        <w:tc>
          <w:tcPr>
            <w:tcW w:w="11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108,302</w:t>
            </w:r>
          </w:p>
        </w:tc>
        <w:tc>
          <w:tcPr>
            <w:tcW w:w="20" w:type="dxa"/>
            <w:vAlign w:val="bottom"/>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260" w:type="dxa"/>
            <w:vAlign w:val="bottom"/>
            <w:shd w:val="clear" w:color="auto" w:fill="E2E3E4"/>
          </w:tcPr>
          <w:p>
            <w:pPr>
              <w:jc w:val="right"/>
              <w:ind w:right="94"/>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0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113,305</w:t>
            </w:r>
          </w:p>
        </w:tc>
        <w:tc>
          <w:tcPr>
            <w:tcW w:w="100" w:type="dxa"/>
            <w:vAlign w:val="bottom"/>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231F20"/>
              </w:rPr>
              <w:t>Operating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160" w:type="dxa"/>
            <w:vAlign w:val="bottom"/>
            <w:tcBorders>
              <w:top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180" w:type="dxa"/>
            <w:vAlign w:val="bottom"/>
            <w:tcBorders>
              <w:top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6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1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182,779</w:t>
            </w:r>
          </w:p>
        </w:tc>
        <w:tc>
          <w:tcPr>
            <w:tcW w:w="100" w:type="dxa"/>
            <w:vAlign w:val="bottom"/>
            <w:shd w:val="clear" w:color="auto" w:fill="E2E3E4"/>
          </w:tcPr>
          <w:p>
            <w:pPr>
              <w:spacing w:after="0"/>
              <w:rPr>
                <w:sz w:val="20"/>
                <w:szCs w:val="20"/>
                <w:color w:val="auto"/>
              </w:rPr>
            </w:pPr>
          </w:p>
        </w:tc>
        <w:tc>
          <w:tcPr>
            <w:tcW w:w="14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1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159,682</w:t>
            </w:r>
          </w:p>
        </w:tc>
        <w:tc>
          <w:tcPr>
            <w:tcW w:w="20" w:type="dxa"/>
            <w:vAlign w:val="bottom"/>
            <w:shd w:val="clear" w:color="auto" w:fill="E2E3E4"/>
          </w:tcPr>
          <w:p>
            <w:pPr>
              <w:spacing w:after="0"/>
              <w:rPr>
                <w:sz w:val="20"/>
                <w:szCs w:val="20"/>
                <w:color w:val="auto"/>
              </w:rPr>
            </w:pPr>
          </w:p>
        </w:tc>
        <w:tc>
          <w:tcPr>
            <w:tcW w:w="6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260" w:type="dxa"/>
            <w:vAlign w:val="bottom"/>
            <w:shd w:val="clear" w:color="auto" w:fill="E2E3E4"/>
          </w:tcPr>
          <w:p>
            <w:pPr>
              <w:spacing w:after="0"/>
              <w:rPr>
                <w:sz w:val="20"/>
                <w:szCs w:val="20"/>
                <w:color w:val="auto"/>
              </w:rPr>
            </w:pPr>
          </w:p>
        </w:tc>
        <w:tc>
          <w:tcPr>
            <w:tcW w:w="10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130,009</w:t>
            </w:r>
          </w:p>
        </w:tc>
        <w:tc>
          <w:tcPr>
            <w:tcW w:w="100" w:type="dxa"/>
            <w:vAlign w:val="bottom"/>
            <w:shd w:val="clear" w:color="auto" w:fill="E2E3E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E2E3E4"/>
            </w:tcBorders>
          </w:tcPr>
          <w:p>
            <w:pPr>
              <w:ind w:left="200"/>
              <w:spacing w:after="0"/>
              <w:rPr>
                <w:sz w:val="20"/>
                <w:szCs w:val="20"/>
                <w:color w:val="auto"/>
              </w:rPr>
            </w:pPr>
            <w:r>
              <w:rPr>
                <w:rFonts w:ascii="Times New Roman" w:cs="Times New Roman" w:eastAsia="Times New Roman" w:hAnsi="Times New Roman"/>
                <w:sz w:val="19"/>
                <w:szCs w:val="19"/>
                <w:color w:val="231F20"/>
              </w:rPr>
              <w:t>General and administrative</w:t>
            </w: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75,331</w:t>
            </w:r>
          </w:p>
        </w:tc>
        <w:tc>
          <w:tcPr>
            <w:tcW w:w="100" w:type="dxa"/>
            <w:vAlign w:val="bottom"/>
            <w:tcBorders>
              <w:bottom w:val="single" w:sz="8" w:color="E2E3E4"/>
            </w:tcBorders>
          </w:tcPr>
          <w:p>
            <w:pPr>
              <w:spacing w:after="0"/>
              <w:rPr>
                <w:sz w:val="20"/>
                <w:szCs w:val="20"/>
                <w:color w:val="auto"/>
              </w:rPr>
            </w:pPr>
          </w:p>
        </w:tc>
        <w:tc>
          <w:tcPr>
            <w:tcW w:w="1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59,023</w:t>
            </w:r>
          </w:p>
        </w:tc>
        <w:tc>
          <w:tcPr>
            <w:tcW w:w="20" w:type="dxa"/>
            <w:vAlign w:val="bottom"/>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51,292</w:t>
            </w:r>
          </w:p>
        </w:tc>
        <w:tc>
          <w:tcPr>
            <w:tcW w:w="100" w:type="dxa"/>
            <w:vAlign w:val="bottom"/>
            <w:tcBorders>
              <w:bottom w:val="single" w:sz="8" w:color="E2E3E4"/>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860" w:type="dxa"/>
            <w:vAlign w:val="bottom"/>
            <w:tcBorders>
              <w:bottom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operating expenses</w:t>
            </w:r>
          </w:p>
        </w:tc>
        <w:tc>
          <w:tcPr>
            <w:tcW w:w="160" w:type="dxa"/>
            <w:vAlign w:val="bottom"/>
            <w:tcBorders>
              <w:bottom w:val="single" w:sz="8" w:color="E2E3E4"/>
            </w:tcBorders>
            <w:shd w:val="clear" w:color="auto" w:fill="E2E3E4"/>
          </w:tcPr>
          <w:p>
            <w:pPr>
              <w:spacing w:after="0"/>
              <w:rPr>
                <w:sz w:val="23"/>
                <w:szCs w:val="23"/>
                <w:color w:val="auto"/>
              </w:rPr>
            </w:pPr>
          </w:p>
        </w:tc>
        <w:tc>
          <w:tcPr>
            <w:tcW w:w="20" w:type="dxa"/>
            <w:vAlign w:val="bottom"/>
            <w:tcBorders>
              <w:bottom w:val="single" w:sz="8" w:color="E2E3E4"/>
            </w:tcBorders>
            <w:shd w:val="clear" w:color="auto" w:fill="E2E3E4"/>
          </w:tcPr>
          <w:p>
            <w:pPr>
              <w:spacing w:after="0"/>
              <w:rPr>
                <w:sz w:val="23"/>
                <w:szCs w:val="23"/>
                <w:color w:val="auto"/>
              </w:rPr>
            </w:pPr>
          </w:p>
        </w:tc>
        <w:tc>
          <w:tcPr>
            <w:tcW w:w="100" w:type="dxa"/>
            <w:vAlign w:val="bottom"/>
            <w:tcBorders>
              <w:bottom w:val="single" w:sz="8" w:color="231F20"/>
            </w:tcBorders>
            <w:shd w:val="clear" w:color="auto" w:fill="E2E3E4"/>
          </w:tcPr>
          <w:p>
            <w:pPr>
              <w:spacing w:after="0"/>
              <w:rPr>
                <w:sz w:val="23"/>
                <w:szCs w:val="23"/>
                <w:color w:val="auto"/>
              </w:rPr>
            </w:pPr>
          </w:p>
        </w:tc>
        <w:tc>
          <w:tcPr>
            <w:tcW w:w="11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258,110</w:t>
            </w:r>
          </w:p>
        </w:tc>
        <w:tc>
          <w:tcPr>
            <w:tcW w:w="100" w:type="dxa"/>
            <w:vAlign w:val="bottom"/>
            <w:tcBorders>
              <w:bottom w:val="single" w:sz="8" w:color="E2E3E4"/>
            </w:tcBorders>
            <w:shd w:val="clear" w:color="auto" w:fill="E2E3E4"/>
          </w:tcPr>
          <w:p>
            <w:pPr>
              <w:spacing w:after="0"/>
              <w:rPr>
                <w:sz w:val="23"/>
                <w:szCs w:val="23"/>
                <w:color w:val="auto"/>
              </w:rPr>
            </w:pPr>
          </w:p>
        </w:tc>
        <w:tc>
          <w:tcPr>
            <w:tcW w:w="140" w:type="dxa"/>
            <w:vAlign w:val="bottom"/>
            <w:tcBorders>
              <w:bottom w:val="single" w:sz="8" w:color="E2E3E4"/>
            </w:tcBorders>
            <w:shd w:val="clear" w:color="auto" w:fill="E2E3E4"/>
          </w:tcPr>
          <w:p>
            <w:pPr>
              <w:spacing w:after="0"/>
              <w:rPr>
                <w:sz w:val="23"/>
                <w:szCs w:val="23"/>
                <w:color w:val="auto"/>
              </w:rPr>
            </w:pPr>
          </w:p>
        </w:tc>
        <w:tc>
          <w:tcPr>
            <w:tcW w:w="20" w:type="dxa"/>
            <w:vAlign w:val="bottom"/>
            <w:tcBorders>
              <w:bottom w:val="single" w:sz="8" w:color="E2E3E4"/>
            </w:tcBorders>
            <w:shd w:val="clear" w:color="auto" w:fill="E2E3E4"/>
          </w:tcPr>
          <w:p>
            <w:pPr>
              <w:spacing w:after="0"/>
              <w:rPr>
                <w:sz w:val="23"/>
                <w:szCs w:val="23"/>
                <w:color w:val="auto"/>
              </w:rPr>
            </w:pPr>
          </w:p>
        </w:tc>
        <w:tc>
          <w:tcPr>
            <w:tcW w:w="100" w:type="dxa"/>
            <w:vAlign w:val="bottom"/>
            <w:tcBorders>
              <w:bottom w:val="single" w:sz="8" w:color="231F20"/>
            </w:tcBorders>
            <w:shd w:val="clear" w:color="auto" w:fill="E2E3E4"/>
          </w:tcPr>
          <w:p>
            <w:pPr>
              <w:spacing w:after="0"/>
              <w:rPr>
                <w:sz w:val="23"/>
                <w:szCs w:val="23"/>
                <w:color w:val="auto"/>
              </w:rPr>
            </w:pPr>
          </w:p>
        </w:tc>
        <w:tc>
          <w:tcPr>
            <w:tcW w:w="118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218,705</w:t>
            </w:r>
          </w:p>
        </w:tc>
        <w:tc>
          <w:tcPr>
            <w:tcW w:w="20" w:type="dxa"/>
            <w:vAlign w:val="bottom"/>
            <w:tcBorders>
              <w:bottom w:val="single" w:sz="8" w:color="E2E3E4"/>
            </w:tcBorders>
            <w:shd w:val="clear" w:color="auto" w:fill="E2E3E4"/>
          </w:tcPr>
          <w:p>
            <w:pPr>
              <w:spacing w:after="0"/>
              <w:rPr>
                <w:sz w:val="23"/>
                <w:szCs w:val="23"/>
                <w:color w:val="auto"/>
              </w:rPr>
            </w:pPr>
          </w:p>
        </w:tc>
        <w:tc>
          <w:tcPr>
            <w:tcW w:w="60" w:type="dxa"/>
            <w:vAlign w:val="bottom"/>
            <w:tcBorders>
              <w:bottom w:val="single" w:sz="8" w:color="E2E3E4"/>
            </w:tcBorders>
            <w:shd w:val="clear" w:color="auto" w:fill="E2E3E4"/>
          </w:tcPr>
          <w:p>
            <w:pPr>
              <w:spacing w:after="0"/>
              <w:rPr>
                <w:sz w:val="23"/>
                <w:szCs w:val="23"/>
                <w:color w:val="auto"/>
              </w:rPr>
            </w:pPr>
          </w:p>
        </w:tc>
        <w:tc>
          <w:tcPr>
            <w:tcW w:w="160" w:type="dxa"/>
            <w:vAlign w:val="bottom"/>
            <w:tcBorders>
              <w:bottom w:val="single" w:sz="8" w:color="E2E3E4"/>
            </w:tcBorders>
            <w:shd w:val="clear" w:color="auto" w:fill="E2E3E4"/>
          </w:tcPr>
          <w:p>
            <w:pPr>
              <w:spacing w:after="0"/>
              <w:rPr>
                <w:sz w:val="23"/>
                <w:szCs w:val="23"/>
                <w:color w:val="auto"/>
              </w:rPr>
            </w:pPr>
          </w:p>
        </w:tc>
        <w:tc>
          <w:tcPr>
            <w:tcW w:w="20" w:type="dxa"/>
            <w:vAlign w:val="bottom"/>
            <w:tcBorders>
              <w:bottom w:val="single" w:sz="8" w:color="E2E3E4"/>
            </w:tcBorders>
            <w:shd w:val="clear" w:color="auto" w:fill="E2E3E4"/>
          </w:tcPr>
          <w:p>
            <w:pPr>
              <w:spacing w:after="0"/>
              <w:rPr>
                <w:sz w:val="23"/>
                <w:szCs w:val="23"/>
                <w:color w:val="auto"/>
              </w:rPr>
            </w:pPr>
          </w:p>
        </w:tc>
        <w:tc>
          <w:tcPr>
            <w:tcW w:w="260" w:type="dxa"/>
            <w:vAlign w:val="bottom"/>
            <w:tcBorders>
              <w:bottom w:val="single" w:sz="8" w:color="231F20"/>
            </w:tcBorders>
            <w:shd w:val="clear" w:color="auto" w:fill="E2E3E4"/>
          </w:tcPr>
          <w:p>
            <w:pPr>
              <w:spacing w:after="0"/>
              <w:rPr>
                <w:sz w:val="23"/>
                <w:szCs w:val="23"/>
                <w:color w:val="auto"/>
              </w:rPr>
            </w:pPr>
          </w:p>
        </w:tc>
        <w:tc>
          <w:tcPr>
            <w:tcW w:w="102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181,301</w:t>
            </w:r>
          </w:p>
        </w:tc>
        <w:tc>
          <w:tcPr>
            <w:tcW w:w="100" w:type="dxa"/>
            <w:vAlign w:val="bottom"/>
            <w:tcBorders>
              <w:bottom w:val="single" w:sz="8" w:color="E2E3E4"/>
            </w:tcBorders>
            <w:shd w:val="clear" w:color="auto" w:fill="E2E3E4"/>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line="187" w:lineRule="exact"/>
              <w:rPr>
                <w:sz w:val="20"/>
                <w:szCs w:val="20"/>
                <w:color w:val="auto"/>
              </w:rPr>
            </w:pPr>
            <w:r>
              <w:rPr>
                <w:rFonts w:ascii="Times New Roman" w:cs="Times New Roman" w:eastAsia="Times New Roman" w:hAnsi="Times New Roman"/>
                <w:sz w:val="19"/>
                <w:szCs w:val="19"/>
                <w:color w:val="231F20"/>
              </w:rPr>
              <w:t>Loss from operations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rPr>
              <w:t>(215,383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rPr>
              <w:t>(110,403</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9"/>
                <w:szCs w:val="19"/>
                <w:color w:val="231F20"/>
              </w:rPr>
              <w:t>(67,996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0" w:type="dxa"/>
            <w:vAlign w:val="bottom"/>
          </w:tcPr>
          <w:p>
            <w:pPr>
              <w:spacing w:after="0"/>
              <w:rPr>
                <w:sz w:val="1"/>
                <w:szCs w:val="1"/>
                <w:color w:val="auto"/>
              </w:rPr>
            </w:pPr>
          </w:p>
        </w:tc>
      </w:tr>
      <w:tr>
        <w:trPr>
          <w:trHeight w:val="235"/>
        </w:trPr>
        <w:tc>
          <w:tcPr>
            <w:tcW w:w="58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Other income, net:</w:t>
            </w: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16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4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18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6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260" w:type="dxa"/>
            <w:vAlign w:val="bottom"/>
            <w:shd w:val="clear" w:color="auto" w:fill="E2E3E4"/>
          </w:tcPr>
          <w:p>
            <w:pPr>
              <w:spacing w:after="0"/>
              <w:rPr>
                <w:sz w:val="20"/>
                <w:szCs w:val="20"/>
                <w:color w:val="auto"/>
              </w:rPr>
            </w:pPr>
          </w:p>
        </w:tc>
        <w:tc>
          <w:tcPr>
            <w:tcW w:w="10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Dividend income and interest income, net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10,478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10,163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E2E3E4"/>
            </w:tcBorders>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Other income, net</w:t>
            </w:r>
          </w:p>
        </w:tc>
        <w:tc>
          <w:tcPr>
            <w:tcW w:w="160" w:type="dxa"/>
            <w:vAlign w:val="bottom"/>
            <w:tcBorders>
              <w:bottom w:val="single" w:sz="8" w:color="E2E3E4"/>
            </w:tcBorders>
            <w:shd w:val="clear" w:color="auto" w:fill="E2E3E4"/>
          </w:tcPr>
          <w:p>
            <w:pPr>
              <w:spacing w:after="0"/>
              <w:rPr>
                <w:sz w:val="22"/>
                <w:szCs w:val="22"/>
                <w:color w:val="auto"/>
              </w:rPr>
            </w:pPr>
          </w:p>
        </w:tc>
        <w:tc>
          <w:tcPr>
            <w:tcW w:w="20" w:type="dxa"/>
            <w:vAlign w:val="bottom"/>
            <w:tcBorders>
              <w:bottom w:val="single" w:sz="8" w:color="E2E3E4"/>
            </w:tcBorders>
            <w:shd w:val="clear" w:color="auto" w:fill="E2E3E4"/>
          </w:tcPr>
          <w:p>
            <w:pPr>
              <w:spacing w:after="0"/>
              <w:rPr>
                <w:sz w:val="22"/>
                <w:szCs w:val="22"/>
                <w:color w:val="auto"/>
              </w:rPr>
            </w:pPr>
          </w:p>
        </w:tc>
        <w:tc>
          <w:tcPr>
            <w:tcW w:w="100" w:type="dxa"/>
            <w:vAlign w:val="bottom"/>
            <w:tcBorders>
              <w:bottom w:val="single" w:sz="8" w:color="E2E3E4"/>
            </w:tcBorders>
            <w:shd w:val="clear" w:color="auto" w:fill="E2E3E4"/>
          </w:tcPr>
          <w:p>
            <w:pPr>
              <w:spacing w:after="0"/>
              <w:rPr>
                <w:sz w:val="22"/>
                <w:szCs w:val="22"/>
                <w:color w:val="auto"/>
              </w:rPr>
            </w:pPr>
          </w:p>
        </w:tc>
        <w:tc>
          <w:tcPr>
            <w:tcW w:w="116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527</w:t>
            </w:r>
          </w:p>
        </w:tc>
        <w:tc>
          <w:tcPr>
            <w:tcW w:w="100" w:type="dxa"/>
            <w:vAlign w:val="bottom"/>
            <w:tcBorders>
              <w:bottom w:val="single" w:sz="8" w:color="E2E3E4"/>
            </w:tcBorders>
            <w:shd w:val="clear" w:color="auto" w:fill="E2E3E4"/>
          </w:tcPr>
          <w:p>
            <w:pPr>
              <w:spacing w:after="0"/>
              <w:rPr>
                <w:sz w:val="22"/>
                <w:szCs w:val="22"/>
                <w:color w:val="auto"/>
              </w:rPr>
            </w:pPr>
          </w:p>
        </w:tc>
        <w:tc>
          <w:tcPr>
            <w:tcW w:w="140" w:type="dxa"/>
            <w:vAlign w:val="bottom"/>
            <w:tcBorders>
              <w:bottom w:val="single" w:sz="8" w:color="E2E3E4"/>
            </w:tcBorders>
            <w:shd w:val="clear" w:color="auto" w:fill="E2E3E4"/>
          </w:tcPr>
          <w:p>
            <w:pPr>
              <w:spacing w:after="0"/>
              <w:rPr>
                <w:sz w:val="22"/>
                <w:szCs w:val="22"/>
                <w:color w:val="auto"/>
              </w:rPr>
            </w:pPr>
          </w:p>
        </w:tc>
        <w:tc>
          <w:tcPr>
            <w:tcW w:w="20" w:type="dxa"/>
            <w:vAlign w:val="bottom"/>
            <w:tcBorders>
              <w:bottom w:val="single" w:sz="8" w:color="E2E3E4"/>
            </w:tcBorders>
            <w:shd w:val="clear" w:color="auto" w:fill="E2E3E4"/>
          </w:tcPr>
          <w:p>
            <w:pPr>
              <w:spacing w:after="0"/>
              <w:rPr>
                <w:sz w:val="22"/>
                <w:szCs w:val="22"/>
                <w:color w:val="auto"/>
              </w:rPr>
            </w:pPr>
          </w:p>
        </w:tc>
        <w:tc>
          <w:tcPr>
            <w:tcW w:w="100" w:type="dxa"/>
            <w:vAlign w:val="bottom"/>
            <w:tcBorders>
              <w:bottom w:val="single" w:sz="8" w:color="231F20"/>
            </w:tcBorders>
            <w:shd w:val="clear" w:color="auto" w:fill="E2E3E4"/>
          </w:tcPr>
          <w:p>
            <w:pPr>
              <w:spacing w:after="0"/>
              <w:rPr>
                <w:sz w:val="22"/>
                <w:szCs w:val="22"/>
                <w:color w:val="auto"/>
              </w:rPr>
            </w:pPr>
          </w:p>
        </w:tc>
        <w:tc>
          <w:tcPr>
            <w:tcW w:w="118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3,232</w:t>
            </w:r>
          </w:p>
        </w:tc>
        <w:tc>
          <w:tcPr>
            <w:tcW w:w="20" w:type="dxa"/>
            <w:vAlign w:val="bottom"/>
            <w:tcBorders>
              <w:bottom w:val="single" w:sz="8" w:color="E2E3E4"/>
            </w:tcBorders>
            <w:shd w:val="clear" w:color="auto" w:fill="E2E3E4"/>
          </w:tcPr>
          <w:p>
            <w:pPr>
              <w:spacing w:after="0"/>
              <w:rPr>
                <w:sz w:val="22"/>
                <w:szCs w:val="22"/>
                <w:color w:val="auto"/>
              </w:rPr>
            </w:pPr>
          </w:p>
        </w:tc>
        <w:tc>
          <w:tcPr>
            <w:tcW w:w="60" w:type="dxa"/>
            <w:vAlign w:val="bottom"/>
            <w:tcBorders>
              <w:bottom w:val="single" w:sz="8" w:color="E2E3E4"/>
            </w:tcBorders>
            <w:shd w:val="clear" w:color="auto" w:fill="E2E3E4"/>
          </w:tcPr>
          <w:p>
            <w:pPr>
              <w:spacing w:after="0"/>
              <w:rPr>
                <w:sz w:val="22"/>
                <w:szCs w:val="22"/>
                <w:color w:val="auto"/>
              </w:rPr>
            </w:pPr>
          </w:p>
        </w:tc>
        <w:tc>
          <w:tcPr>
            <w:tcW w:w="160" w:type="dxa"/>
            <w:vAlign w:val="bottom"/>
            <w:tcBorders>
              <w:bottom w:val="single" w:sz="8" w:color="E2E3E4"/>
            </w:tcBorders>
            <w:shd w:val="clear" w:color="auto" w:fill="E2E3E4"/>
          </w:tcPr>
          <w:p>
            <w:pPr>
              <w:spacing w:after="0"/>
              <w:rPr>
                <w:sz w:val="22"/>
                <w:szCs w:val="22"/>
                <w:color w:val="auto"/>
              </w:rPr>
            </w:pPr>
          </w:p>
        </w:tc>
        <w:tc>
          <w:tcPr>
            <w:tcW w:w="20" w:type="dxa"/>
            <w:vAlign w:val="bottom"/>
            <w:tcBorders>
              <w:bottom w:val="single" w:sz="8" w:color="E2E3E4"/>
            </w:tcBorders>
            <w:shd w:val="clear" w:color="auto" w:fill="E2E3E4"/>
          </w:tcPr>
          <w:p>
            <w:pPr>
              <w:spacing w:after="0"/>
              <w:rPr>
                <w:sz w:val="22"/>
                <w:szCs w:val="22"/>
                <w:color w:val="auto"/>
              </w:rPr>
            </w:pPr>
          </w:p>
        </w:tc>
        <w:tc>
          <w:tcPr>
            <w:tcW w:w="260" w:type="dxa"/>
            <w:vAlign w:val="bottom"/>
            <w:tcBorders>
              <w:bottom w:val="single" w:sz="8" w:color="E2E3E4"/>
            </w:tcBorders>
            <w:shd w:val="clear" w:color="auto" w:fill="E2E3E4"/>
          </w:tcPr>
          <w:p>
            <w:pPr>
              <w:spacing w:after="0"/>
              <w:rPr>
                <w:sz w:val="22"/>
                <w:szCs w:val="22"/>
                <w:color w:val="auto"/>
              </w:rPr>
            </w:pPr>
          </w:p>
        </w:tc>
        <w:tc>
          <w:tcPr>
            <w:tcW w:w="102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1,878</w:t>
            </w:r>
          </w:p>
        </w:tc>
        <w:tc>
          <w:tcPr>
            <w:tcW w:w="100" w:type="dxa"/>
            <w:vAlign w:val="bottom"/>
            <w:tcBorders>
              <w:bottom w:val="single" w:sz="8" w:color="E2E3E4"/>
            </w:tcBorders>
            <w:shd w:val="clear" w:color="auto" w:fill="E2E3E4"/>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860" w:type="dxa"/>
            <w:vAlign w:val="bottom"/>
            <w:tcBorders>
              <w:bottom w:val="single" w:sz="8" w:color="E2E3E4"/>
            </w:tcBorders>
          </w:tcPr>
          <w:p>
            <w:pPr>
              <w:spacing w:after="0" w:line="207" w:lineRule="exact"/>
              <w:rPr>
                <w:sz w:val="20"/>
                <w:szCs w:val="20"/>
                <w:color w:val="auto"/>
              </w:rPr>
            </w:pPr>
            <w:r>
              <w:rPr>
                <w:rFonts w:ascii="Times New Roman" w:cs="Times New Roman" w:eastAsia="Times New Roman" w:hAnsi="Times New Roman"/>
                <w:sz w:val="19"/>
                <w:szCs w:val="19"/>
                <w:color w:val="231F20"/>
              </w:rPr>
              <w:t>Total other income, net</w:t>
            </w:r>
          </w:p>
        </w:tc>
        <w:tc>
          <w:tcPr>
            <w:tcW w:w="1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top w:val="single" w:sz="8" w:color="231F20"/>
              <w:bottom w:val="single" w:sz="8" w:color="231F20"/>
            </w:tcBorders>
          </w:tcPr>
          <w:p>
            <w:pPr>
              <w:spacing w:after="0"/>
              <w:rPr>
                <w:sz w:val="17"/>
                <w:szCs w:val="17"/>
                <w:color w:val="auto"/>
              </w:rPr>
            </w:pPr>
          </w:p>
        </w:tc>
        <w:tc>
          <w:tcPr>
            <w:tcW w:w="116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11,005</w:t>
            </w:r>
          </w:p>
        </w:tc>
        <w:tc>
          <w:tcPr>
            <w:tcW w:w="100" w:type="dxa"/>
            <w:vAlign w:val="bottom"/>
            <w:tcBorders>
              <w:bottom w:val="single" w:sz="8" w:color="E2E3E4"/>
            </w:tcBorders>
          </w:tcPr>
          <w:p>
            <w:pPr>
              <w:spacing w:after="0"/>
              <w:rPr>
                <w:sz w:val="17"/>
                <w:szCs w:val="17"/>
                <w:color w:val="auto"/>
              </w:rPr>
            </w:pPr>
          </w:p>
        </w:tc>
        <w:tc>
          <w:tcPr>
            <w:tcW w:w="14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top w:val="single" w:sz="8" w:color="231F20"/>
              <w:bottom w:val="single" w:sz="8" w:color="231F20"/>
            </w:tcBorders>
          </w:tcPr>
          <w:p>
            <w:pPr>
              <w:spacing w:after="0"/>
              <w:rPr>
                <w:sz w:val="17"/>
                <w:szCs w:val="17"/>
                <w:color w:val="auto"/>
              </w:rPr>
            </w:pPr>
          </w:p>
        </w:tc>
        <w:tc>
          <w:tcPr>
            <w:tcW w:w="118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13,395</w:t>
            </w:r>
          </w:p>
        </w:tc>
        <w:tc>
          <w:tcPr>
            <w:tcW w:w="20" w:type="dxa"/>
            <w:vAlign w:val="bottom"/>
          </w:tcPr>
          <w:p>
            <w:pPr>
              <w:spacing w:after="0"/>
              <w:rPr>
                <w:sz w:val="17"/>
                <w:szCs w:val="17"/>
                <w:color w:val="auto"/>
              </w:rPr>
            </w:pPr>
          </w:p>
        </w:tc>
        <w:tc>
          <w:tcPr>
            <w:tcW w:w="60" w:type="dxa"/>
            <w:vAlign w:val="bottom"/>
            <w:tcBorders>
              <w:bottom w:val="single" w:sz="8" w:color="E2E3E4"/>
            </w:tcBorders>
          </w:tcPr>
          <w:p>
            <w:pPr>
              <w:spacing w:after="0"/>
              <w:rPr>
                <w:sz w:val="17"/>
                <w:szCs w:val="17"/>
                <w:color w:val="auto"/>
              </w:rPr>
            </w:pPr>
          </w:p>
        </w:tc>
        <w:tc>
          <w:tcPr>
            <w:tcW w:w="1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260" w:type="dxa"/>
            <w:vAlign w:val="bottom"/>
            <w:tcBorders>
              <w:top w:val="single" w:sz="8" w:color="231F20"/>
              <w:bottom w:val="single" w:sz="8" w:color="231F20"/>
            </w:tcBorders>
          </w:tcPr>
          <w:p>
            <w:pPr>
              <w:spacing w:after="0"/>
              <w:rPr>
                <w:sz w:val="17"/>
                <w:szCs w:val="17"/>
                <w:color w:val="auto"/>
              </w:rPr>
            </w:pPr>
          </w:p>
        </w:tc>
        <w:tc>
          <w:tcPr>
            <w:tcW w:w="1020" w:type="dxa"/>
            <w:vAlign w:val="bottom"/>
            <w:tcBorders>
              <w:top w:val="single" w:sz="8" w:color="231F20"/>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9,806</w:t>
            </w:r>
          </w:p>
        </w:tc>
        <w:tc>
          <w:tcPr>
            <w:tcW w:w="10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Loss before income taxes</w:t>
            </w: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1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(204,378</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4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1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(97,008</w:t>
            </w:r>
          </w:p>
        </w:tc>
        <w:tc>
          <w:tcPr>
            <w:tcW w:w="20" w:type="dxa"/>
            <w:vAlign w:val="bottom"/>
            <w:shd w:val="clear" w:color="auto" w:fill="E2E3E4"/>
          </w:tcPr>
          <w:p>
            <w:pPr>
              <w:spacing w:after="0"/>
              <w:rPr>
                <w:sz w:val="19"/>
                <w:szCs w:val="19"/>
                <w:color w:val="auto"/>
              </w:rPr>
            </w:pP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260" w:type="dxa"/>
            <w:vAlign w:val="bottom"/>
            <w:shd w:val="clear" w:color="auto" w:fill="E2E3E4"/>
          </w:tcPr>
          <w:p>
            <w:pPr>
              <w:spacing w:after="0"/>
              <w:rPr>
                <w:sz w:val="19"/>
                <w:szCs w:val="19"/>
                <w:color w:val="auto"/>
              </w:rPr>
            </w:pPr>
          </w:p>
        </w:tc>
        <w:tc>
          <w:tcPr>
            <w:tcW w:w="10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(58,190</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Income tax benefit</w:t>
            </w: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tcBorders>
              <w:bottom w:val="single" w:sz="8" w:color="E2E3E4"/>
            </w:tcBorders>
          </w:tcPr>
          <w:p>
            <w:pPr>
              <w:spacing w:after="0"/>
              <w:rPr>
                <w:sz w:val="20"/>
                <w:szCs w:val="20"/>
                <w:color w:val="auto"/>
              </w:rPr>
            </w:pPr>
          </w:p>
        </w:tc>
        <w:tc>
          <w:tcPr>
            <w:tcW w:w="1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677</w:t>
            </w:r>
          </w:p>
        </w:tc>
        <w:tc>
          <w:tcPr>
            <w:tcW w:w="100" w:type="dxa"/>
            <w:vAlign w:val="bottom"/>
            <w:tcBorders>
              <w:bottom w:val="single" w:sz="8" w:color="E2E3E4"/>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Net loss</w:t>
            </w: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1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(204,378</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40" w:type="dxa"/>
            <w:vAlign w:val="bottom"/>
            <w:shd w:val="clear" w:color="auto" w:fill="E2E3E4"/>
          </w:tcPr>
          <w:p>
            <w:pPr>
              <w:spacing w:after="0"/>
              <w:rPr>
                <w:sz w:val="19"/>
                <w:szCs w:val="19"/>
                <w:color w:val="auto"/>
              </w:rPr>
            </w:pPr>
          </w:p>
        </w:tc>
        <w:tc>
          <w:tcPr>
            <w:tcW w:w="120" w:type="dxa"/>
            <w:vAlign w:val="bottom"/>
            <w:gridSpan w:val="2"/>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shd w:val="clear" w:color="auto" w:fill="E2E3E4"/>
              </w:rPr>
              <w:t>$</w:t>
            </w:r>
          </w:p>
        </w:tc>
        <w:tc>
          <w:tcPr>
            <w:tcW w:w="11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(97,008</w:t>
            </w:r>
          </w:p>
        </w:tc>
        <w:tc>
          <w:tcPr>
            <w:tcW w:w="20" w:type="dxa"/>
            <w:vAlign w:val="bottom"/>
            <w:shd w:val="clear" w:color="auto" w:fill="E2E3E4"/>
          </w:tcPr>
          <w:p>
            <w:pPr>
              <w:spacing w:after="0"/>
              <w:rPr>
                <w:sz w:val="19"/>
                <w:szCs w:val="19"/>
                <w:color w:val="auto"/>
              </w:rPr>
            </w:pP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260" w:type="dxa"/>
            <w:vAlign w:val="bottom"/>
            <w:shd w:val="clear" w:color="auto" w:fill="E2E3E4"/>
          </w:tcPr>
          <w:p>
            <w:pPr>
              <w:jc w:val="right"/>
              <w:ind w:right="94"/>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0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(57,513</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Net loss per share attributable to ordinary</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860" w:type="dxa"/>
            <w:vAlign w:val="bottom"/>
          </w:tcPr>
          <w:p>
            <w:pPr>
              <w:ind w:left="140"/>
              <w:spacing w:after="0"/>
              <w:rPr>
                <w:sz w:val="20"/>
                <w:szCs w:val="20"/>
                <w:color w:val="auto"/>
              </w:rPr>
            </w:pPr>
            <w:r>
              <w:rPr>
                <w:rFonts w:ascii="Times New Roman" w:cs="Times New Roman" w:eastAsia="Times New Roman" w:hAnsi="Times New Roman"/>
                <w:sz w:val="19"/>
                <w:szCs w:val="19"/>
                <w:color w:val="231F20"/>
              </w:rPr>
              <w:t>shareholders—basic and diluted</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(1.21 )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(0.70 )</w:t>
            </w:r>
          </w:p>
        </w:tc>
        <w:tc>
          <w:tcPr>
            <w:tcW w:w="44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(0.54 )</w:t>
            </w:r>
          </w:p>
        </w:tc>
        <w:tc>
          <w:tcPr>
            <w:tcW w:w="0" w:type="dxa"/>
            <w:vAlign w:val="bottom"/>
          </w:tcPr>
          <w:p>
            <w:pPr>
              <w:spacing w:after="0"/>
              <w:rPr>
                <w:sz w:val="1"/>
                <w:szCs w:val="1"/>
                <w:color w:val="auto"/>
              </w:rPr>
            </w:pPr>
          </w:p>
        </w:tc>
      </w:tr>
      <w:tr>
        <w:trPr>
          <w:trHeight w:val="222"/>
        </w:trPr>
        <w:tc>
          <w:tcPr>
            <w:tcW w:w="586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Weighted-average ordinary shares used in computing</w:t>
            </w:r>
          </w:p>
        </w:tc>
        <w:tc>
          <w:tcPr>
            <w:tcW w:w="16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spacing w:after="0"/>
              <w:rPr>
                <w:sz w:val="19"/>
                <w:szCs w:val="19"/>
                <w:color w:val="auto"/>
              </w:rPr>
            </w:pPr>
          </w:p>
        </w:tc>
        <w:tc>
          <w:tcPr>
            <w:tcW w:w="1160" w:type="dxa"/>
            <w:vAlign w:val="bottom"/>
            <w:tcBorders>
              <w:top w:val="single" w:sz="8" w:color="231F20"/>
            </w:tcBorders>
            <w:shd w:val="clear" w:color="auto" w:fill="E2E3E4"/>
          </w:tcPr>
          <w:p>
            <w:pPr>
              <w:spacing w:after="0"/>
              <w:rPr>
                <w:sz w:val="19"/>
                <w:szCs w:val="19"/>
                <w:color w:val="auto"/>
              </w:rPr>
            </w:pPr>
          </w:p>
        </w:tc>
        <w:tc>
          <w:tcPr>
            <w:tcW w:w="100" w:type="dxa"/>
            <w:vAlign w:val="bottom"/>
            <w:tcBorders>
              <w:top w:val="single" w:sz="8" w:color="E2E3E4"/>
            </w:tcBorders>
            <w:shd w:val="clear" w:color="auto" w:fill="E2E3E4"/>
          </w:tcPr>
          <w:p>
            <w:pPr>
              <w:spacing w:after="0"/>
              <w:rPr>
                <w:sz w:val="19"/>
                <w:szCs w:val="19"/>
                <w:color w:val="auto"/>
              </w:rPr>
            </w:pPr>
          </w:p>
        </w:tc>
        <w:tc>
          <w:tcPr>
            <w:tcW w:w="14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spacing w:after="0"/>
              <w:rPr>
                <w:sz w:val="19"/>
                <w:szCs w:val="19"/>
                <w:color w:val="auto"/>
              </w:rPr>
            </w:pPr>
          </w:p>
        </w:tc>
        <w:tc>
          <w:tcPr>
            <w:tcW w:w="1180" w:type="dxa"/>
            <w:vAlign w:val="bottom"/>
            <w:tcBorders>
              <w:top w:val="single" w:sz="8" w:color="231F20"/>
            </w:tcBorders>
            <w:shd w:val="clear" w:color="auto" w:fill="E2E3E4"/>
          </w:tcPr>
          <w:p>
            <w:pPr>
              <w:spacing w:after="0"/>
              <w:rPr>
                <w:sz w:val="19"/>
                <w:szCs w:val="19"/>
                <w:color w:val="auto"/>
              </w:rPr>
            </w:pPr>
          </w:p>
        </w:tc>
        <w:tc>
          <w:tcPr>
            <w:tcW w:w="20" w:type="dxa"/>
            <w:vAlign w:val="bottom"/>
            <w:tcBorders>
              <w:top w:val="single" w:sz="8" w:color="231F20"/>
            </w:tcBorders>
            <w:shd w:val="clear" w:color="auto" w:fill="E2E3E4"/>
          </w:tcPr>
          <w:p>
            <w:pPr>
              <w:spacing w:after="0"/>
              <w:rPr>
                <w:sz w:val="19"/>
                <w:szCs w:val="19"/>
                <w:color w:val="auto"/>
              </w:rPr>
            </w:pPr>
          </w:p>
        </w:tc>
        <w:tc>
          <w:tcPr>
            <w:tcW w:w="60" w:type="dxa"/>
            <w:vAlign w:val="bottom"/>
            <w:tcBorders>
              <w:top w:val="single" w:sz="8" w:color="E2E3E4"/>
            </w:tcBorders>
            <w:shd w:val="clear" w:color="auto" w:fill="E2E3E4"/>
          </w:tcPr>
          <w:p>
            <w:pPr>
              <w:spacing w:after="0"/>
              <w:rPr>
                <w:sz w:val="19"/>
                <w:szCs w:val="19"/>
                <w:color w:val="auto"/>
              </w:rPr>
            </w:pPr>
          </w:p>
        </w:tc>
        <w:tc>
          <w:tcPr>
            <w:tcW w:w="16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260" w:type="dxa"/>
            <w:vAlign w:val="bottom"/>
            <w:tcBorders>
              <w:top w:val="single" w:sz="8" w:color="231F20"/>
            </w:tcBorders>
            <w:shd w:val="clear" w:color="auto" w:fill="E2E3E4"/>
          </w:tcPr>
          <w:p>
            <w:pPr>
              <w:spacing w:after="0"/>
              <w:rPr>
                <w:sz w:val="19"/>
                <w:szCs w:val="19"/>
                <w:color w:val="auto"/>
              </w:rPr>
            </w:pPr>
          </w:p>
        </w:tc>
        <w:tc>
          <w:tcPr>
            <w:tcW w:w="1020" w:type="dxa"/>
            <w:vAlign w:val="bottom"/>
            <w:tcBorders>
              <w:top w:val="single" w:sz="8" w:color="231F20"/>
            </w:tcBorders>
            <w:shd w:val="clear" w:color="auto" w:fill="E2E3E4"/>
          </w:tcPr>
          <w:p>
            <w:pPr>
              <w:spacing w:after="0"/>
              <w:rPr>
                <w:sz w:val="19"/>
                <w:szCs w:val="19"/>
                <w:color w:val="auto"/>
              </w:rPr>
            </w:pPr>
          </w:p>
        </w:tc>
        <w:tc>
          <w:tcPr>
            <w:tcW w:w="100" w:type="dxa"/>
            <w:vAlign w:val="bottom"/>
            <w:tcBorders>
              <w:top w:val="single" w:sz="8" w:color="E2E3E4"/>
            </w:tcBorders>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E2E3E4"/>
          </w:tcPr>
          <w:p>
            <w:pPr>
              <w:ind w:left="140"/>
              <w:spacing w:after="0"/>
              <w:rPr>
                <w:sz w:val="20"/>
                <w:szCs w:val="20"/>
                <w:color w:val="auto"/>
              </w:rPr>
            </w:pPr>
            <w:r>
              <w:rPr>
                <w:rFonts w:ascii="Times New Roman" w:cs="Times New Roman" w:eastAsia="Times New Roman" w:hAnsi="Times New Roman"/>
                <w:sz w:val="19"/>
                <w:szCs w:val="19"/>
                <w:color w:val="231F20"/>
              </w:rPr>
              <w:t>net loss per share attributable to ordinary</w:t>
            </w: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16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4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18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260" w:type="dxa"/>
            <w:vAlign w:val="bottom"/>
            <w:shd w:val="clear" w:color="auto" w:fill="E2E3E4"/>
          </w:tcPr>
          <w:p>
            <w:pPr>
              <w:spacing w:after="0"/>
              <w:rPr>
                <w:sz w:val="19"/>
                <w:szCs w:val="19"/>
                <w:color w:val="auto"/>
              </w:rPr>
            </w:pPr>
          </w:p>
        </w:tc>
        <w:tc>
          <w:tcPr>
            <w:tcW w:w="10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60" w:type="dxa"/>
            <w:vAlign w:val="bottom"/>
            <w:shd w:val="clear" w:color="auto" w:fill="E2E3E4"/>
          </w:tcPr>
          <w:p>
            <w:pPr>
              <w:ind w:left="140"/>
              <w:spacing w:after="0"/>
              <w:rPr>
                <w:sz w:val="20"/>
                <w:szCs w:val="20"/>
                <w:color w:val="auto"/>
              </w:rPr>
            </w:pPr>
            <w:r>
              <w:rPr>
                <w:rFonts w:ascii="Times New Roman" w:cs="Times New Roman" w:eastAsia="Times New Roman" w:hAnsi="Times New Roman"/>
                <w:sz w:val="19"/>
                <w:szCs w:val="19"/>
                <w:color w:val="231F20"/>
              </w:rPr>
              <w:t>shareholders—basic and diluted</w:t>
            </w: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tcBorders>
              <w:bottom w:val="single" w:sz="8" w:color="231F20"/>
            </w:tcBorders>
            <w:shd w:val="clear" w:color="auto" w:fill="E2E3E4"/>
          </w:tcPr>
          <w:p>
            <w:pPr>
              <w:spacing w:after="0"/>
              <w:rPr>
                <w:sz w:val="19"/>
                <w:szCs w:val="19"/>
                <w:color w:val="auto"/>
              </w:rPr>
            </w:pPr>
          </w:p>
        </w:tc>
        <w:tc>
          <w:tcPr>
            <w:tcW w:w="11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168,649,795</w:t>
            </w:r>
          </w:p>
        </w:tc>
        <w:tc>
          <w:tcPr>
            <w:tcW w:w="100" w:type="dxa"/>
            <w:vAlign w:val="bottom"/>
            <w:shd w:val="clear" w:color="auto" w:fill="E2E3E4"/>
          </w:tcPr>
          <w:p>
            <w:pPr>
              <w:spacing w:after="0"/>
              <w:rPr>
                <w:sz w:val="19"/>
                <w:szCs w:val="19"/>
                <w:color w:val="auto"/>
              </w:rPr>
            </w:pPr>
          </w:p>
        </w:tc>
        <w:tc>
          <w:tcPr>
            <w:tcW w:w="14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tcBorders>
              <w:bottom w:val="single" w:sz="8" w:color="231F20"/>
            </w:tcBorders>
            <w:shd w:val="clear" w:color="auto" w:fill="E2E3E4"/>
          </w:tcPr>
          <w:p>
            <w:pPr>
              <w:spacing w:after="0"/>
              <w:rPr>
                <w:sz w:val="19"/>
                <w:szCs w:val="19"/>
                <w:color w:val="auto"/>
              </w:rPr>
            </w:pPr>
          </w:p>
        </w:tc>
        <w:tc>
          <w:tcPr>
            <w:tcW w:w="118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138,277,468</w:t>
            </w:r>
          </w:p>
        </w:tc>
        <w:tc>
          <w:tcPr>
            <w:tcW w:w="20" w:type="dxa"/>
            <w:vAlign w:val="bottom"/>
            <w:tcBorders>
              <w:bottom w:val="single" w:sz="8" w:color="231F20"/>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260" w:type="dxa"/>
            <w:vAlign w:val="bottom"/>
            <w:tcBorders>
              <w:bottom w:val="single" w:sz="8" w:color="231F20"/>
            </w:tcBorders>
            <w:shd w:val="clear" w:color="auto" w:fill="E2E3E4"/>
          </w:tcPr>
          <w:p>
            <w:pPr>
              <w:spacing w:after="0"/>
              <w:rPr>
                <w:sz w:val="19"/>
                <w:szCs w:val="19"/>
                <w:color w:val="auto"/>
              </w:rPr>
            </w:pPr>
          </w:p>
        </w:tc>
        <w:tc>
          <w:tcPr>
            <w:tcW w:w="102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106,097,268</w:t>
            </w:r>
          </w:p>
        </w:tc>
        <w:tc>
          <w:tcPr>
            <w:tcW w:w="100" w:type="dxa"/>
            <w:vAlign w:val="bottom"/>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Other comprehensive loss:</w:t>
            </w: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16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4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18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6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260" w:type="dxa"/>
            <w:vAlign w:val="bottom"/>
            <w:shd w:val="clear" w:color="auto" w:fill="E2E3E4"/>
          </w:tcPr>
          <w:p>
            <w:pPr>
              <w:spacing w:after="0"/>
              <w:rPr>
                <w:sz w:val="20"/>
                <w:szCs w:val="20"/>
                <w:color w:val="auto"/>
              </w:rPr>
            </w:pPr>
          </w:p>
        </w:tc>
        <w:tc>
          <w:tcPr>
            <w:tcW w:w="10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231F20"/>
              </w:rPr>
              <w:t>Net loss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(204,378 )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(97,008 )</w:t>
            </w:r>
          </w:p>
        </w:tc>
        <w:tc>
          <w:tcPr>
            <w:tcW w:w="440" w:type="dxa"/>
            <w:vAlign w:val="bottom"/>
            <w:gridSpan w:val="3"/>
          </w:tcPr>
          <w:p>
            <w:pPr>
              <w:jc w:val="right"/>
              <w:ind w:right="94"/>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(57,513 )</w:t>
            </w:r>
          </w:p>
        </w:tc>
        <w:tc>
          <w:tcPr>
            <w:tcW w:w="0" w:type="dxa"/>
            <w:vAlign w:val="bottom"/>
          </w:tcPr>
          <w:p>
            <w:pPr>
              <w:spacing w:after="0"/>
              <w:rPr>
                <w:sz w:val="1"/>
                <w:szCs w:val="1"/>
                <w:color w:val="auto"/>
              </w:rPr>
            </w:pPr>
          </w:p>
        </w:tc>
      </w:tr>
      <w:tr>
        <w:trPr>
          <w:trHeight w:val="237"/>
        </w:trPr>
        <w:tc>
          <w:tcPr>
            <w:tcW w:w="586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Foreign currency translation gain (loss)</w:t>
            </w: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16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100" w:type="dxa"/>
            <w:vAlign w:val="bottom"/>
            <w:shd w:val="clear" w:color="auto" w:fill="E2E3E4"/>
          </w:tcPr>
          <w:p>
            <w:pPr>
              <w:spacing w:after="0"/>
              <w:rPr>
                <w:sz w:val="20"/>
                <w:szCs w:val="20"/>
                <w:color w:val="auto"/>
              </w:rPr>
            </w:pPr>
          </w:p>
        </w:tc>
        <w:tc>
          <w:tcPr>
            <w:tcW w:w="14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18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(138</w:t>
            </w:r>
          </w:p>
        </w:tc>
        <w:tc>
          <w:tcPr>
            <w:tcW w:w="20" w:type="dxa"/>
            <w:vAlign w:val="bottom"/>
            <w:shd w:val="clear" w:color="auto" w:fill="E2E3E4"/>
          </w:tcPr>
          <w:p>
            <w:pPr>
              <w:spacing w:after="0"/>
              <w:rPr>
                <w:sz w:val="20"/>
                <w:szCs w:val="20"/>
                <w:color w:val="auto"/>
              </w:rPr>
            </w:pP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6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260" w:type="dxa"/>
            <w:vAlign w:val="bottom"/>
            <w:tcBorders>
              <w:bottom w:val="single" w:sz="8" w:color="231F20"/>
            </w:tcBorders>
            <w:shd w:val="clear" w:color="auto" w:fill="E2E3E4"/>
          </w:tcPr>
          <w:p>
            <w:pPr>
              <w:spacing w:after="0"/>
              <w:rPr>
                <w:sz w:val="20"/>
                <w:szCs w:val="20"/>
                <w:color w:val="auto"/>
              </w:rPr>
            </w:pPr>
          </w:p>
        </w:tc>
        <w:tc>
          <w:tcPr>
            <w:tcW w:w="102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(95</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0" w:type="dxa"/>
            <w:vAlign w:val="bottom"/>
          </w:tcPr>
          <w:p>
            <w:pPr>
              <w:spacing w:after="0"/>
              <w:rPr>
                <w:sz w:val="1"/>
                <w:szCs w:val="1"/>
                <w:color w:val="auto"/>
              </w:rPr>
            </w:pP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231F20"/>
              </w:rPr>
              <w:t>Comprehensive loss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(204,366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(97,146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(57,608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3826510</wp:posOffset>
                </wp:positionH>
                <wp:positionV relativeFrom="paragraph">
                  <wp:posOffset>-3423285</wp:posOffset>
                </wp:positionV>
                <wp:extent cx="81153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3pt,-269.5499pt" to="365.2pt,-269.5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4800600</wp:posOffset>
                </wp:positionH>
                <wp:positionV relativeFrom="paragraph">
                  <wp:posOffset>-3423285</wp:posOffset>
                </wp:positionV>
                <wp:extent cx="81026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pt,-269.5499pt" to="441.8pt,-269.5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5773420</wp:posOffset>
                </wp:positionH>
                <wp:positionV relativeFrom="paragraph">
                  <wp:posOffset>-3423285</wp:posOffset>
                </wp:positionV>
                <wp:extent cx="81153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6pt,-269.5499pt" to="518.5pt,-269.5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-3121660</wp:posOffset>
                </wp:positionV>
                <wp:extent cx="66516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7999pt" to="523.75pt,-245.7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-2508250</wp:posOffset>
                </wp:positionV>
                <wp:extent cx="66516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9pt" to="523.75pt,-197.4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-1894840</wp:posOffset>
                </wp:positionV>
                <wp:extent cx="66516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9.1999pt" to="523.75pt,-149.1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3826510</wp:posOffset>
                </wp:positionH>
                <wp:positionV relativeFrom="paragraph">
                  <wp:posOffset>-1561465</wp:posOffset>
                </wp:positionV>
                <wp:extent cx="8115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10350">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3pt,-122.9499pt" to="365.2pt,-122.9499pt" o:allowincell="f" strokecolor="#FFFFFF" strokeweight="0.815pt"/>
            </w:pict>
          </mc:Fallback>
        </mc:AlternateContent>
        <mc:AlternateContent>
          <mc:Choice Requires="wps">
            <w:drawing>
              <wp:anchor simplePos="0" relativeHeight="251657728" behindDoc="1" locked="0" layoutInCell="0" allowOverlap="1">
                <wp:simplePos x="0" y="0"/>
                <wp:positionH relativeFrom="column">
                  <wp:posOffset>4800600</wp:posOffset>
                </wp:positionH>
                <wp:positionV relativeFrom="paragraph">
                  <wp:posOffset>-1561465</wp:posOffset>
                </wp:positionV>
                <wp:extent cx="81026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10350">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pt,-122.9499pt" to="441.8pt,-122.9499pt" o:allowincell="f" strokecolor="#FFFFFF" strokeweight="0.815pt"/>
            </w:pict>
          </mc:Fallback>
        </mc:AlternateContent>
        <mc:AlternateContent>
          <mc:Choice Requires="wps">
            <w:drawing>
              <wp:anchor simplePos="0" relativeHeight="251657728" behindDoc="1" locked="0" layoutInCell="0" allowOverlap="1">
                <wp:simplePos x="0" y="0"/>
                <wp:positionH relativeFrom="column">
                  <wp:posOffset>5773420</wp:posOffset>
                </wp:positionH>
                <wp:positionV relativeFrom="paragraph">
                  <wp:posOffset>-1561465</wp:posOffset>
                </wp:positionV>
                <wp:extent cx="81153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10350">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6pt,-122.9499pt" to="518.5pt,-122.9499pt" o:allowincell="f" strokecolor="#FFFFFF" strokeweight="0.815pt"/>
            </w:pict>
          </mc:Fallback>
        </mc:AlternateContent>
        <mc:AlternateContent>
          <mc:Choice Requires="wps">
            <w:drawing>
              <wp:anchor simplePos="0" relativeHeight="251657728" behindDoc="1" locked="0" layoutInCell="0" allowOverlap="1">
                <wp:simplePos x="0" y="0"/>
                <wp:positionH relativeFrom="column">
                  <wp:posOffset>3826510</wp:posOffset>
                </wp:positionH>
                <wp:positionV relativeFrom="paragraph">
                  <wp:posOffset>-172720</wp:posOffset>
                </wp:positionV>
                <wp:extent cx="81153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3pt,-13.5999pt" to="365.2pt,-13.5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4800600</wp:posOffset>
                </wp:positionH>
                <wp:positionV relativeFrom="paragraph">
                  <wp:posOffset>-172720</wp:posOffset>
                </wp:positionV>
                <wp:extent cx="81026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pt,-13.5999pt" to="441.8pt,-13.5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5773420</wp:posOffset>
                </wp:positionH>
                <wp:positionV relativeFrom="paragraph">
                  <wp:posOffset>-172720</wp:posOffset>
                </wp:positionV>
                <wp:extent cx="81153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6pt,-13.5999pt" to="518.5pt,-13.5999pt" o:allowincell="f" strokecolor="#FFFFFF" strokeweight="0.698pt"/>
            </w:pict>
          </mc:Fallback>
        </mc:AlternateConten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The accompanying notes are an integral part of the consolidated financial statements.</w:t>
      </w:r>
    </w:p>
    <w:p>
      <w:pPr>
        <w:sectPr>
          <w:pgSz w:w="11880" w:h="15480" w:orient="portrait"/>
          <w:cols w:equalWidth="0" w:num="1">
            <w:col w:w="10480"/>
          </w:cols>
          <w:pgMar w:left="700" w:top="961" w:right="70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w:t>
      </w:r>
    </w:p>
    <w:p>
      <w:pPr>
        <w:sectPr>
          <w:pgSz w:w="11880" w:h="15480" w:orient="portrait"/>
          <w:cols w:equalWidth="0" w:num="1">
            <w:col w:w="10480"/>
          </w:cols>
          <w:pgMar w:left="700" w:top="961" w:right="700" w:bottom="213" w:gutter="0" w:footer="0" w:header="0"/>
          <w:type w:val="continuous"/>
        </w:sectPr>
      </w:pPr>
    </w:p>
    <w:bookmarkStart w:id="108" w:name="page109"/>
    <w:bookmarkEnd w:id="108"/>
    <w:p>
      <w:pPr>
        <w:jc w:val="center"/>
        <w:ind w:right="-279"/>
        <w:spacing w:after="0"/>
        <w:rPr>
          <w:sz w:val="20"/>
          <w:szCs w:val="20"/>
          <w:color w:val="auto"/>
        </w:rPr>
      </w:pPr>
      <w:r>
        <w:rPr>
          <w:rFonts w:ascii="Times New Roman" w:cs="Times New Roman" w:eastAsia="Times New Roman" w:hAnsi="Times New Roman"/>
          <w:sz w:val="19"/>
          <w:szCs w:val="19"/>
          <w:b w:val="1"/>
          <w:bCs w:val="1"/>
          <w:color w:val="231F20"/>
        </w:rPr>
        <w:t>WAVE LIFE SCIENCES LTD.</w:t>
      </w:r>
    </w:p>
    <w:p>
      <w:pPr>
        <w:spacing w:after="0" w:line="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231F20"/>
        </w:rPr>
        <w:t>CONSOLIDATED STATEMENTS OF SERIES A PREFERRED SHARES AND SHAREHOLDERS’ EQUITY (DEFICIT)</w:t>
      </w:r>
    </w:p>
    <w:p>
      <w:pPr>
        <w:spacing w:after="0" w:line="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i w:val="1"/>
          <w:iCs w:val="1"/>
          <w:color w:val="231F20"/>
        </w:rPr>
        <w:t>(In thousands, except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3738880</wp:posOffset>
                </wp:positionH>
                <wp:positionV relativeFrom="paragraph">
                  <wp:posOffset>173990</wp:posOffset>
                </wp:positionV>
                <wp:extent cx="12065" cy="1270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231F20"/>
                        </a:solidFill>
                      </wps:spPr>
                      <wps:bodyPr/>
                    </wps:wsp>
                  </a:graphicData>
                </a:graphic>
              </wp:anchor>
            </w:drawing>
          </mc:Choice>
          <mc:Fallback>
            <w:pict>
              <v:rect id="Shape 81" o:spid="_x0000_s1106" style="position:absolute;margin-left:294.4pt;margin-top:13.7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180340</wp:posOffset>
                </wp:positionV>
                <wp:extent cx="530098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0980" cy="4763"/>
                        </a:xfrm>
                        <a:prstGeom prst="line">
                          <a:avLst/>
                        </a:prstGeom>
                        <a:solidFill>
                          <a:srgbClr val="FFFFFF"/>
                        </a:solidFill>
                        <a:ln w="8869">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65pt,14.2pt" to="712.05pt,14.2pt" o:allowincell="f" strokecolor="#FFFFFF" strokeweight="0.6983pt"/>
            </w:pict>
          </mc:Fallback>
        </mc:AlternateConten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30" w:type="dxa"/>
            <w:vAlign w:val="bottom"/>
            <w:gridSpan w:val="4"/>
          </w:tcPr>
          <w:p>
            <w:pPr>
              <w:jc w:val="right"/>
              <w:ind w:right="18"/>
              <w:spacing w:after="0"/>
              <w:rPr>
                <w:sz w:val="20"/>
                <w:szCs w:val="20"/>
                <w:color w:val="auto"/>
              </w:rPr>
            </w:pPr>
            <w:r>
              <w:rPr>
                <w:rFonts w:ascii="Times New Roman" w:cs="Times New Roman" w:eastAsia="Times New Roman" w:hAnsi="Times New Roman"/>
                <w:sz w:val="15"/>
                <w:szCs w:val="15"/>
                <w:b w:val="1"/>
                <w:bCs w:val="1"/>
                <w:color w:val="231F20"/>
              </w:rPr>
              <w:t>Series A</w:t>
            </w:r>
          </w:p>
        </w:tc>
        <w:tc>
          <w:tcPr>
            <w:tcW w:w="910" w:type="dxa"/>
            <w:vAlign w:val="bottom"/>
          </w:tcPr>
          <w:p>
            <w:pPr>
              <w:spacing w:after="0"/>
              <w:rPr>
                <w:sz w:val="15"/>
                <w:szCs w:val="15"/>
                <w:color w:val="auto"/>
              </w:rPr>
            </w:pPr>
          </w:p>
        </w:tc>
        <w:tc>
          <w:tcPr>
            <w:tcW w:w="300" w:type="dxa"/>
            <w:vAlign w:val="bottom"/>
            <w:tcBorders>
              <w:right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30" w:type="dxa"/>
            <w:vAlign w:val="bottom"/>
            <w:gridSpan w:val="4"/>
          </w:tcPr>
          <w:p>
            <w:pPr>
              <w:jc w:val="center"/>
              <w:ind w:right="230"/>
              <w:spacing w:after="0"/>
              <w:rPr>
                <w:sz w:val="20"/>
                <w:szCs w:val="20"/>
                <w:color w:val="auto"/>
              </w:rPr>
            </w:pPr>
            <w:r>
              <w:rPr>
                <w:rFonts w:ascii="Times New Roman" w:cs="Times New Roman" w:eastAsia="Times New Roman" w:hAnsi="Times New Roman"/>
                <w:sz w:val="15"/>
                <w:szCs w:val="15"/>
                <w:b w:val="1"/>
                <w:bCs w:val="1"/>
                <w:color w:val="231F20"/>
                <w:w w:val="96"/>
              </w:rPr>
              <w:t>Accumulated</w:t>
            </w: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40" w:type="dxa"/>
            <w:vAlign w:val="bottom"/>
            <w:tcBorders>
              <w:bottom w:val="single" w:sz="8" w:color="231F20"/>
            </w:tcBorders>
            <w:gridSpan w:val="5"/>
          </w:tcPr>
          <w:p>
            <w:pPr>
              <w:jc w:val="right"/>
              <w:ind w:right="647"/>
              <w:spacing w:after="0"/>
              <w:rPr>
                <w:sz w:val="20"/>
                <w:szCs w:val="20"/>
                <w:color w:val="auto"/>
              </w:rPr>
            </w:pPr>
            <w:r>
              <w:rPr>
                <w:rFonts w:ascii="Times New Roman" w:cs="Times New Roman" w:eastAsia="Times New Roman" w:hAnsi="Times New Roman"/>
                <w:sz w:val="15"/>
                <w:szCs w:val="15"/>
                <w:b w:val="1"/>
                <w:bCs w:val="1"/>
                <w:color w:val="231F20"/>
              </w:rPr>
              <w:t>Preferred Shares</w:t>
            </w:r>
          </w:p>
        </w:tc>
        <w:tc>
          <w:tcPr>
            <w:tcW w:w="300" w:type="dxa"/>
            <w:vAlign w:val="bottom"/>
            <w:tcBorders>
              <w:right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440" w:type="dxa"/>
            <w:vAlign w:val="bottom"/>
            <w:tcBorders>
              <w:bottom w:val="single" w:sz="8" w:color="231F20"/>
            </w:tcBorders>
            <w:gridSpan w:val="5"/>
          </w:tcPr>
          <w:p>
            <w:pPr>
              <w:jc w:val="right"/>
              <w:ind w:right="707"/>
              <w:spacing w:after="0"/>
              <w:rPr>
                <w:sz w:val="20"/>
                <w:szCs w:val="20"/>
                <w:color w:val="auto"/>
              </w:rPr>
            </w:pPr>
            <w:r>
              <w:rPr>
                <w:rFonts w:ascii="Times New Roman" w:cs="Times New Roman" w:eastAsia="Times New Roman" w:hAnsi="Times New Roman"/>
                <w:sz w:val="15"/>
                <w:szCs w:val="15"/>
                <w:b w:val="1"/>
                <w:bCs w:val="1"/>
                <w:color w:val="231F20"/>
              </w:rPr>
              <w:t>Ordinary Shares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67"/>
              <w:spacing w:after="0"/>
              <w:rPr>
                <w:sz w:val="20"/>
                <w:szCs w:val="20"/>
                <w:color w:val="auto"/>
              </w:rPr>
            </w:pPr>
            <w:r>
              <w:rPr>
                <w:rFonts w:ascii="Times New Roman" w:cs="Times New Roman" w:eastAsia="Times New Roman" w:hAnsi="Times New Roman"/>
                <w:sz w:val="15"/>
                <w:szCs w:val="15"/>
                <w:b w:val="1"/>
                <w:bCs w:val="1"/>
                <w:color w:val="231F20"/>
                <w:w w:val="99"/>
              </w:rPr>
              <w:t>Additional</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90" w:type="dxa"/>
            <w:vAlign w:val="bottom"/>
            <w:gridSpan w:val="3"/>
          </w:tcPr>
          <w:p>
            <w:pPr>
              <w:jc w:val="center"/>
              <w:ind w:right="270"/>
              <w:spacing w:after="0"/>
              <w:rPr>
                <w:sz w:val="20"/>
                <w:szCs w:val="20"/>
                <w:color w:val="auto"/>
              </w:rPr>
            </w:pPr>
            <w:r>
              <w:rPr>
                <w:rFonts w:ascii="Times New Roman" w:cs="Times New Roman" w:eastAsia="Times New Roman" w:hAnsi="Times New Roman"/>
                <w:sz w:val="15"/>
                <w:szCs w:val="15"/>
                <w:b w:val="1"/>
                <w:bCs w:val="1"/>
                <w:color w:val="231F20"/>
                <w:w w:val="99"/>
              </w:rPr>
              <w:t>Other</w:t>
            </w: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center"/>
              <w:ind w:right="227"/>
              <w:spacing w:after="0"/>
              <w:rPr>
                <w:sz w:val="20"/>
                <w:szCs w:val="20"/>
                <w:color w:val="auto"/>
              </w:rPr>
            </w:pPr>
            <w:r>
              <w:rPr>
                <w:rFonts w:ascii="Times New Roman" w:cs="Times New Roman" w:eastAsia="Times New Roman" w:hAnsi="Times New Roman"/>
                <w:sz w:val="15"/>
                <w:szCs w:val="15"/>
                <w:b w:val="1"/>
                <w:bCs w:val="1"/>
                <w:color w:val="231F20"/>
                <w:w w:val="93"/>
              </w:rPr>
              <w:t>Total</w:t>
            </w:r>
          </w:p>
        </w:tc>
        <w:tc>
          <w:tcPr>
            <w:tcW w:w="0" w:type="dxa"/>
            <w:vAlign w:val="bottom"/>
          </w:tcPr>
          <w:p>
            <w:pPr>
              <w:spacing w:after="0"/>
              <w:rPr>
                <w:sz w:val="1"/>
                <w:szCs w:val="1"/>
                <w:color w:val="auto"/>
              </w:rPr>
            </w:pPr>
          </w:p>
        </w:tc>
      </w:tr>
      <w:tr>
        <w:trPr>
          <w:trHeight w:val="138"/>
        </w:trPr>
        <w:tc>
          <w:tcPr>
            <w:tcW w:w="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7"/>
              <w:spacing w:after="0" w:line="138" w:lineRule="exact"/>
              <w:rPr>
                <w:sz w:val="20"/>
                <w:szCs w:val="20"/>
                <w:color w:val="auto"/>
              </w:rPr>
            </w:pPr>
            <w:r>
              <w:rPr>
                <w:rFonts w:ascii="Times New Roman" w:cs="Times New Roman" w:eastAsia="Times New Roman" w:hAnsi="Times New Roman"/>
                <w:sz w:val="15"/>
                <w:szCs w:val="15"/>
                <w:b w:val="1"/>
                <w:bCs w:val="1"/>
                <w:color w:val="231F20"/>
                <w:w w:val="97"/>
              </w:rPr>
              <w:t>Paid-In-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10" w:type="dxa"/>
            <w:vAlign w:val="bottom"/>
            <w:gridSpan w:val="5"/>
          </w:tcPr>
          <w:p>
            <w:pPr>
              <w:jc w:val="center"/>
              <w:ind w:right="150"/>
              <w:spacing w:after="0" w:line="138" w:lineRule="exact"/>
              <w:rPr>
                <w:sz w:val="20"/>
                <w:szCs w:val="20"/>
                <w:color w:val="auto"/>
              </w:rPr>
            </w:pPr>
            <w:r>
              <w:rPr>
                <w:rFonts w:ascii="Times New Roman" w:cs="Times New Roman" w:eastAsia="Times New Roman" w:hAnsi="Times New Roman"/>
                <w:sz w:val="15"/>
                <w:szCs w:val="15"/>
                <w:b w:val="1"/>
                <w:bCs w:val="1"/>
                <w:color w:val="231F20"/>
                <w:w w:val="97"/>
              </w:rPr>
              <w:t>Comprehensive</w:t>
            </w: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10" w:type="dxa"/>
            <w:vAlign w:val="bottom"/>
            <w:gridSpan w:val="3"/>
          </w:tcPr>
          <w:p>
            <w:pPr>
              <w:jc w:val="right"/>
              <w:ind w:right="197"/>
              <w:spacing w:after="0" w:line="138" w:lineRule="exact"/>
              <w:rPr>
                <w:sz w:val="20"/>
                <w:szCs w:val="20"/>
                <w:color w:val="auto"/>
              </w:rPr>
            </w:pPr>
            <w:r>
              <w:rPr>
                <w:rFonts w:ascii="Times New Roman" w:cs="Times New Roman" w:eastAsia="Times New Roman" w:hAnsi="Times New Roman"/>
                <w:sz w:val="15"/>
                <w:szCs w:val="15"/>
                <w:b w:val="1"/>
                <w:bCs w:val="1"/>
                <w:color w:val="231F20"/>
                <w:w w:val="96"/>
              </w:rPr>
              <w:t>Accumulated</w:t>
            </w: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7"/>
              <w:spacing w:after="0" w:line="138" w:lineRule="exact"/>
              <w:rPr>
                <w:sz w:val="20"/>
                <w:szCs w:val="20"/>
                <w:color w:val="auto"/>
              </w:rPr>
            </w:pPr>
            <w:r>
              <w:rPr>
                <w:rFonts w:ascii="Times New Roman" w:cs="Times New Roman" w:eastAsia="Times New Roman" w:hAnsi="Times New Roman"/>
                <w:sz w:val="15"/>
                <w:szCs w:val="15"/>
                <w:b w:val="1"/>
                <w:bCs w:val="1"/>
                <w:color w:val="231F20"/>
                <w:w w:val="97"/>
              </w:rPr>
              <w:t>Shareholders’</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1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30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27"/>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67"/>
              <w:spacing w:after="0"/>
              <w:rPr>
                <w:sz w:val="20"/>
                <w:szCs w:val="20"/>
                <w:color w:val="auto"/>
              </w:rPr>
            </w:pPr>
            <w:r>
              <w:rPr>
                <w:rFonts w:ascii="Times New Roman" w:cs="Times New Roman" w:eastAsia="Times New Roman" w:hAnsi="Times New Roman"/>
                <w:sz w:val="15"/>
                <w:szCs w:val="15"/>
                <w:b w:val="1"/>
                <w:bCs w:val="1"/>
                <w:color w:val="231F20"/>
              </w:rPr>
              <w:t>Capital</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90" w:type="dxa"/>
            <w:vAlign w:val="bottom"/>
            <w:gridSpan w:val="3"/>
          </w:tcPr>
          <w:p>
            <w:pPr>
              <w:jc w:val="center"/>
              <w:ind w:right="290"/>
              <w:spacing w:after="0"/>
              <w:rPr>
                <w:sz w:val="20"/>
                <w:szCs w:val="20"/>
                <w:color w:val="auto"/>
              </w:rPr>
            </w:pPr>
            <w:r>
              <w:rPr>
                <w:rFonts w:ascii="Times New Roman" w:cs="Times New Roman" w:eastAsia="Times New Roman" w:hAnsi="Times New Roman"/>
                <w:sz w:val="15"/>
                <w:szCs w:val="15"/>
                <w:b w:val="1"/>
                <w:bCs w:val="1"/>
                <w:color w:val="231F20"/>
                <w:w w:val="95"/>
              </w:rPr>
              <w:t>Loss</w:t>
            </w:r>
          </w:p>
        </w:tc>
        <w:tc>
          <w:tcPr>
            <w:tcW w:w="1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231F20"/>
              </w:rPr>
              <w:t>Deficit</w:t>
            </w:r>
          </w:p>
        </w:tc>
        <w:tc>
          <w:tcPr>
            <w:tcW w:w="1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87"/>
              <w:spacing w:after="0"/>
              <w:rPr>
                <w:sz w:val="20"/>
                <w:szCs w:val="20"/>
                <w:color w:val="auto"/>
              </w:rPr>
            </w:pPr>
            <w:r>
              <w:rPr>
                <w:rFonts w:ascii="Times New Roman" w:cs="Times New Roman" w:eastAsia="Times New Roman" w:hAnsi="Times New Roman"/>
                <w:sz w:val="15"/>
                <w:szCs w:val="15"/>
                <w:b w:val="1"/>
                <w:bCs w:val="1"/>
                <w:color w:val="231F20"/>
                <w:w w:val="96"/>
              </w:rPr>
              <w:t>Equity (Deficit)</w:t>
            </w: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720" w:type="dxa"/>
            <w:vAlign w:val="bottom"/>
            <w:tcBorders>
              <w:top w:val="single" w:sz="8" w:color="E2E3E4"/>
            </w:tcBorders>
            <w:shd w:val="clear" w:color="auto" w:fill="E2E3E4"/>
          </w:tcPr>
          <w:p>
            <w:pPr>
              <w:spacing w:after="0" w:line="151" w:lineRule="exact"/>
              <w:rPr>
                <w:sz w:val="20"/>
                <w:szCs w:val="20"/>
                <w:color w:val="auto"/>
              </w:rPr>
            </w:pPr>
            <w:r>
              <w:rPr>
                <w:rFonts w:ascii="Times New Roman" w:cs="Times New Roman" w:eastAsia="Times New Roman" w:hAnsi="Times New Roman"/>
                <w:sz w:val="15"/>
                <w:szCs w:val="15"/>
                <w:b w:val="1"/>
                <w:bCs w:val="1"/>
                <w:color w:val="231F20"/>
              </w:rPr>
              <w:t>Balance at December 31, 2022</w:t>
            </w:r>
          </w:p>
        </w:tc>
        <w:tc>
          <w:tcPr>
            <w:tcW w:w="14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231F20"/>
              <w:bottom w:val="single" w:sz="8" w:color="231F20"/>
            </w:tcBorders>
            <w:shd w:val="clear" w:color="auto" w:fill="E2E3E4"/>
          </w:tcPr>
          <w:p>
            <w:pPr>
              <w:spacing w:after="0"/>
              <w:rPr>
                <w:sz w:val="13"/>
                <w:szCs w:val="13"/>
                <w:color w:val="auto"/>
              </w:rPr>
            </w:pPr>
          </w:p>
        </w:tc>
        <w:tc>
          <w:tcPr>
            <w:tcW w:w="102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3,901,348</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30" w:type="dxa"/>
            <w:vAlign w:val="bottom"/>
            <w:tcBorders>
              <w:top w:val="single" w:sz="8" w:color="231F20"/>
              <w:bottom w:val="single" w:sz="8" w:color="231F20"/>
            </w:tcBorders>
            <w:shd w:val="clear" w:color="auto" w:fill="E2E3E4"/>
          </w:tcPr>
          <w:p>
            <w:pPr>
              <w:jc w:val="right"/>
              <w:ind w:right="18"/>
              <w:spacing w:after="0"/>
              <w:rPr>
                <w:sz w:val="20"/>
                <w:szCs w:val="20"/>
                <w:color w:val="auto"/>
              </w:rPr>
            </w:pPr>
            <w:r>
              <w:rPr>
                <w:rFonts w:ascii="Times New Roman" w:cs="Times New Roman" w:eastAsia="Times New Roman" w:hAnsi="Times New Roman"/>
                <w:sz w:val="10"/>
                <w:szCs w:val="10"/>
                <w:color w:val="231F20"/>
                <w:w w:val="79"/>
              </w:rPr>
              <w:t>$</w:t>
            </w:r>
          </w:p>
        </w:tc>
        <w:tc>
          <w:tcPr>
            <w:tcW w:w="91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7,874</w:t>
            </w:r>
          </w:p>
        </w:tc>
        <w:tc>
          <w:tcPr>
            <w:tcW w:w="300" w:type="dxa"/>
            <w:vAlign w:val="bottom"/>
            <w:tcBorders>
              <w:top w:val="single" w:sz="8" w:color="E2E3E4"/>
              <w:right w:val="single" w:sz="8" w:color="231F20"/>
            </w:tcBorders>
            <w:shd w:val="clear" w:color="auto" w:fill="E2E3E4"/>
          </w:tcPr>
          <w:p>
            <w:pPr>
              <w:spacing w:after="0"/>
              <w:rPr>
                <w:sz w:val="13"/>
                <w:szCs w:val="13"/>
                <w:color w:val="auto"/>
              </w:rPr>
            </w:pPr>
          </w:p>
        </w:tc>
        <w:tc>
          <w:tcPr>
            <w:tcW w:w="10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40" w:type="dxa"/>
            <w:vAlign w:val="bottom"/>
            <w:tcBorders>
              <w:top w:val="single" w:sz="8" w:color="231F20"/>
              <w:bottom w:val="single" w:sz="8" w:color="231F20"/>
            </w:tcBorders>
            <w:shd w:val="clear" w:color="auto" w:fill="E2E3E4"/>
          </w:tcPr>
          <w:p>
            <w:pPr>
              <w:spacing w:after="0"/>
              <w:rPr>
                <w:sz w:val="13"/>
                <w:szCs w:val="13"/>
                <w:color w:val="auto"/>
              </w:rPr>
            </w:pPr>
          </w:p>
        </w:tc>
        <w:tc>
          <w:tcPr>
            <w:tcW w:w="108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86,924,643</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6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802,833</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8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119,442</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8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231F20"/>
              <w:bottom w:val="single" w:sz="8" w:color="231F20"/>
            </w:tcBorders>
            <w:shd w:val="clear" w:color="auto" w:fill="E2E3E4"/>
          </w:tcPr>
          <w:p>
            <w:pPr>
              <w:spacing w:after="0"/>
              <w:rPr>
                <w:sz w:val="13"/>
                <w:szCs w:val="13"/>
                <w:color w:val="auto"/>
              </w:rPr>
            </w:pPr>
          </w:p>
        </w:tc>
        <w:tc>
          <w:tcPr>
            <w:tcW w:w="96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(29</w:t>
            </w:r>
          </w:p>
        </w:tc>
        <w:tc>
          <w:tcPr>
            <w:tcW w:w="130" w:type="dxa"/>
            <w:vAlign w:val="bottom"/>
            <w:tcBorders>
              <w:top w:val="single" w:sz="8" w:color="E2E3E4"/>
            </w:tcBorders>
            <w:gridSpan w:val="2"/>
            <w:shd w:val="clear" w:color="auto" w:fill="E2E3E4"/>
          </w:tcPr>
          <w:p>
            <w:pPr>
              <w:jc w:val="right"/>
              <w:ind w:right="90"/>
              <w:spacing w:after="0"/>
              <w:rPr>
                <w:sz w:val="20"/>
                <w:szCs w:val="20"/>
                <w:color w:val="auto"/>
              </w:rPr>
            </w:pPr>
            <w:r>
              <w:rPr>
                <w:rFonts w:ascii="Times New Roman" w:cs="Times New Roman" w:eastAsia="Times New Roman" w:hAnsi="Times New Roman"/>
                <w:sz w:val="8"/>
                <w:szCs w:val="8"/>
                <w:color w:val="231F20"/>
                <w:w w:val="73"/>
              </w:rPr>
              <w:t>)</w:t>
            </w:r>
          </w:p>
        </w:tc>
        <w:tc>
          <w:tcPr>
            <w:tcW w:w="13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0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231F20"/>
              <w:bottom w:val="single" w:sz="8" w:color="231F20"/>
            </w:tcBorders>
            <w:shd w:val="clear" w:color="auto" w:fill="E2E3E4"/>
          </w:tcPr>
          <w:p>
            <w:pPr>
              <w:spacing w:after="0"/>
              <w:rPr>
                <w:sz w:val="13"/>
                <w:szCs w:val="13"/>
                <w:color w:val="auto"/>
              </w:rPr>
            </w:pPr>
          </w:p>
        </w:tc>
        <w:tc>
          <w:tcPr>
            <w:tcW w:w="94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(967,337</w:t>
            </w:r>
          </w:p>
        </w:tc>
        <w:tc>
          <w:tcPr>
            <w:tcW w:w="130" w:type="dxa"/>
            <w:vAlign w:val="bottom"/>
            <w:tcBorders>
              <w:top w:val="single" w:sz="8" w:color="E2E3E4"/>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13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0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40" w:type="dxa"/>
            <w:vAlign w:val="bottom"/>
            <w:tcBorders>
              <w:top w:val="single" w:sz="8" w:color="231F20"/>
              <w:bottom w:val="single" w:sz="8" w:color="231F20"/>
            </w:tcBorders>
            <w:shd w:val="clear" w:color="auto" w:fill="E2E3E4"/>
          </w:tcPr>
          <w:p>
            <w:pPr>
              <w:spacing w:after="0"/>
              <w:rPr>
                <w:sz w:val="13"/>
                <w:szCs w:val="13"/>
                <w:color w:val="auto"/>
              </w:rPr>
            </w:pPr>
          </w:p>
        </w:tc>
        <w:tc>
          <w:tcPr>
            <w:tcW w:w="96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(45,091</w:t>
            </w:r>
          </w:p>
        </w:tc>
        <w:tc>
          <w:tcPr>
            <w:tcW w:w="140" w:type="dxa"/>
            <w:vAlign w:val="bottom"/>
            <w:tcBorders>
              <w:top w:val="single" w:sz="8" w:color="E2E3E4"/>
            </w:tcBorders>
            <w:shd w:val="clear" w:color="auto" w:fill="E2E3E4"/>
          </w:tcPr>
          <w:p>
            <w:pPr>
              <w:jc w:val="right"/>
              <w:ind w:right="7"/>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231F20"/>
              </w:rPr>
              <w:t>Issuance of ordinary shares,</w:t>
            </w:r>
          </w:p>
        </w:tc>
        <w:tc>
          <w:tcPr>
            <w:tcW w:w="1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231F20"/>
            </w:tcBorders>
          </w:tcPr>
          <w:p>
            <w:pPr>
              <w:spacing w:after="0" w:line="20" w:lineRule="exact"/>
              <w:rPr>
                <w:sz w:val="1"/>
                <w:szCs w:val="1"/>
                <w:color w:val="auto"/>
              </w:rPr>
            </w:pPr>
          </w:p>
        </w:tc>
        <w:tc>
          <w:tcPr>
            <w:tcW w:w="910" w:type="dxa"/>
            <w:vAlign w:val="bottom"/>
            <w:tcBorders>
              <w:bottom w:val="single" w:sz="8" w:color="231F20"/>
            </w:tcBorders>
          </w:tcPr>
          <w:p>
            <w:pPr>
              <w:spacing w:after="0" w:line="20" w:lineRule="exact"/>
              <w:rPr>
                <w:sz w:val="1"/>
                <w:szCs w:val="1"/>
                <w:color w:val="auto"/>
              </w:rPr>
            </w:pPr>
          </w:p>
        </w:tc>
        <w:tc>
          <w:tcPr>
            <w:tcW w:w="300" w:type="dxa"/>
            <w:vAlign w:val="bottom"/>
            <w:tcBorders>
              <w:right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2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910" w:type="dxa"/>
            <w:vAlign w:val="bottom"/>
          </w:tcPr>
          <w:p>
            <w:pPr>
              <w:spacing w:after="0"/>
              <w:rPr>
                <w:sz w:val="11"/>
                <w:szCs w:val="11"/>
                <w:color w:val="auto"/>
              </w:rPr>
            </w:pPr>
          </w:p>
        </w:tc>
        <w:tc>
          <w:tcPr>
            <w:tcW w:w="300" w:type="dxa"/>
            <w:vAlign w:val="bottom"/>
            <w:tcBorders>
              <w:right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net of offering costs</w:t>
            </w:r>
          </w:p>
        </w:tc>
        <w:tc>
          <w:tcPr>
            <w:tcW w:w="120" w:type="dxa"/>
            <w:vAlign w:val="bottom"/>
            <w:tcBorders>
              <w:bottom w:val="single" w:sz="8" w:color="E2E3E4"/>
            </w:tcBorders>
          </w:tcPr>
          <w:p>
            <w:pPr>
              <w:spacing w:after="0"/>
              <w:rPr>
                <w:sz w:val="17"/>
                <w:szCs w:val="17"/>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20,000,000</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93,574</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93,574</w:t>
            </w:r>
          </w:p>
        </w:tc>
        <w:tc>
          <w:tcPr>
            <w:tcW w:w="14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720" w:type="dxa"/>
            <w:vAlign w:val="bottom"/>
            <w:shd w:val="clear" w:color="auto" w:fill="E2E3E4"/>
          </w:tcPr>
          <w:p>
            <w:pPr>
              <w:spacing w:after="0" w:line="164" w:lineRule="exact"/>
              <w:rPr>
                <w:sz w:val="20"/>
                <w:szCs w:val="20"/>
                <w:color w:val="auto"/>
              </w:rPr>
            </w:pPr>
            <w:r>
              <w:rPr>
                <w:rFonts w:ascii="Times New Roman" w:cs="Times New Roman" w:eastAsia="Times New Roman" w:hAnsi="Times New Roman"/>
                <w:sz w:val="15"/>
                <w:szCs w:val="15"/>
                <w:color w:val="231F20"/>
              </w:rPr>
              <w:t>Issuance of ordinary shares, pursuant</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spacing w:after="0"/>
              <w:rPr>
                <w:sz w:val="14"/>
                <w:szCs w:val="14"/>
                <w:color w:val="auto"/>
              </w:rPr>
            </w:pP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720" w:type="dxa"/>
            <w:vAlign w:val="bottom"/>
            <w:shd w:val="clear" w:color="auto" w:fill="E2E3E4"/>
          </w:tcPr>
          <w:p>
            <w:pPr>
              <w:ind w:left="100"/>
              <w:spacing w:after="0" w:line="168" w:lineRule="exact"/>
              <w:rPr>
                <w:sz w:val="20"/>
                <w:szCs w:val="20"/>
                <w:color w:val="auto"/>
              </w:rPr>
            </w:pPr>
            <w:r>
              <w:rPr>
                <w:rFonts w:ascii="Times New Roman" w:cs="Times New Roman" w:eastAsia="Times New Roman" w:hAnsi="Times New Roman"/>
                <w:sz w:val="15"/>
                <w:szCs w:val="15"/>
                <w:color w:val="231F20"/>
              </w:rPr>
              <w:t>to the GSK Collaboration Agreement</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10,683,761</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34,623</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8"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34,623</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880" w:type="dxa"/>
            <w:vAlign w:val="bottom"/>
            <w:gridSpan w:val="3"/>
          </w:tcPr>
          <w:p>
            <w:pPr>
              <w:spacing w:after="0" w:line="149" w:lineRule="exact"/>
              <w:rPr>
                <w:sz w:val="20"/>
                <w:szCs w:val="20"/>
                <w:color w:val="auto"/>
              </w:rPr>
            </w:pPr>
            <w:r>
              <w:rPr>
                <w:rFonts w:ascii="Times New Roman" w:cs="Times New Roman" w:eastAsia="Times New Roman" w:hAnsi="Times New Roman"/>
                <w:sz w:val="15"/>
                <w:szCs w:val="15"/>
                <w:color w:val="231F20"/>
              </w:rPr>
              <w:t>Issuance of ordinary shares pursuant to</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the at-the-market equity program, net</w:t>
            </w:r>
          </w:p>
        </w:tc>
        <w:tc>
          <w:tcPr>
            <w:tcW w:w="120" w:type="dxa"/>
            <w:vAlign w:val="bottom"/>
            <w:tcBorders>
              <w:bottom w:val="single" w:sz="8" w:color="E2E3E4"/>
            </w:tcBorders>
          </w:tcPr>
          <w:p>
            <w:pPr>
              <w:spacing w:after="0"/>
              <w:rPr>
                <w:sz w:val="17"/>
                <w:szCs w:val="17"/>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751,688</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3,080</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3,080</w:t>
            </w:r>
          </w:p>
        </w:tc>
        <w:tc>
          <w:tcPr>
            <w:tcW w:w="14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720" w:type="dxa"/>
            <w:vAlign w:val="bottom"/>
            <w:shd w:val="clear" w:color="auto" w:fill="E2E3E4"/>
          </w:tcPr>
          <w:p>
            <w:pPr>
              <w:spacing w:after="0" w:line="162" w:lineRule="exact"/>
              <w:rPr>
                <w:sz w:val="20"/>
                <w:szCs w:val="20"/>
                <w:color w:val="auto"/>
              </w:rPr>
            </w:pPr>
            <w:r>
              <w:rPr>
                <w:rFonts w:ascii="Times New Roman" w:cs="Times New Roman" w:eastAsia="Times New Roman" w:hAnsi="Times New Roman"/>
                <w:sz w:val="15"/>
                <w:szCs w:val="15"/>
                <w:color w:val="231F20"/>
              </w:rPr>
              <w:t>Share-based compensation</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9,795</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2"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9,795</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880" w:type="dxa"/>
            <w:vAlign w:val="bottom"/>
            <w:tcBorders>
              <w:bottom w:val="single" w:sz="8" w:color="E2E3E4"/>
            </w:tcBorders>
            <w:gridSpan w:val="3"/>
          </w:tcPr>
          <w:p>
            <w:pPr>
              <w:spacing w:after="0"/>
              <w:rPr>
                <w:sz w:val="20"/>
                <w:szCs w:val="20"/>
                <w:color w:val="auto"/>
              </w:rPr>
            </w:pPr>
            <w:r>
              <w:rPr>
                <w:rFonts w:ascii="Times New Roman" w:cs="Times New Roman" w:eastAsia="Times New Roman" w:hAnsi="Times New Roman"/>
                <w:sz w:val="15"/>
                <w:szCs w:val="15"/>
                <w:color w:val="231F20"/>
              </w:rPr>
              <w:t>Vesting of RSUs</w:t>
            </w:r>
          </w:p>
        </w:tc>
        <w:tc>
          <w:tcPr>
            <w:tcW w:w="120" w:type="dxa"/>
            <w:vAlign w:val="bottom"/>
            <w:tcBorders>
              <w:bottom w:val="single" w:sz="8" w:color="E2E3E4"/>
            </w:tcBorders>
          </w:tcPr>
          <w:p>
            <w:pPr>
              <w:spacing w:after="0"/>
              <w:rPr>
                <w:sz w:val="15"/>
                <w:szCs w:val="15"/>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30" w:type="dxa"/>
            <w:vAlign w:val="bottom"/>
            <w:tcBorders>
              <w:bottom w:val="single" w:sz="8" w:color="E2E3E4"/>
            </w:tcBorders>
          </w:tcPr>
          <w:p>
            <w:pPr>
              <w:spacing w:after="0"/>
              <w:rPr>
                <w:sz w:val="15"/>
                <w:szCs w:val="15"/>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5"/>
                <w:szCs w:val="15"/>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415,658</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20" w:type="dxa"/>
            <w:vAlign w:val="bottom"/>
            <w:tcBorders>
              <w:bottom w:val="single" w:sz="8" w:color="E2E3E4"/>
            </w:tcBorders>
          </w:tcPr>
          <w:p>
            <w:pPr>
              <w:spacing w:after="0"/>
              <w:rPr>
                <w:sz w:val="15"/>
                <w:szCs w:val="15"/>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20" w:type="dxa"/>
            <w:vAlign w:val="bottom"/>
            <w:tcBorders>
              <w:bottom w:val="single" w:sz="8" w:color="E2E3E4"/>
            </w:tcBorders>
          </w:tcPr>
          <w:p>
            <w:pPr>
              <w:spacing w:after="0"/>
              <w:rPr>
                <w:sz w:val="15"/>
                <w:szCs w:val="15"/>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8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100" w:type="dxa"/>
            <w:vAlign w:val="bottom"/>
            <w:tcBorders>
              <w:bottom w:val="single" w:sz="8" w:color="E2E3E4"/>
            </w:tcBorders>
            <w:gridSpan w:val="2"/>
          </w:tcPr>
          <w:p>
            <w:pPr>
              <w:jc w:val="right"/>
              <w:ind w:right="87"/>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720" w:type="dxa"/>
            <w:vAlign w:val="bottom"/>
            <w:shd w:val="clear" w:color="auto" w:fill="E2E3E4"/>
          </w:tcPr>
          <w:p>
            <w:pPr>
              <w:spacing w:after="0" w:line="161" w:lineRule="exact"/>
              <w:rPr>
                <w:sz w:val="20"/>
                <w:szCs w:val="20"/>
                <w:color w:val="auto"/>
              </w:rPr>
            </w:pPr>
            <w:r>
              <w:rPr>
                <w:rFonts w:ascii="Times New Roman" w:cs="Times New Roman" w:eastAsia="Times New Roman" w:hAnsi="Times New Roman"/>
                <w:sz w:val="15"/>
                <w:szCs w:val="15"/>
                <w:color w:val="231F20"/>
              </w:rPr>
              <w:t>Option exercises</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160,571</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509</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1"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509</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880" w:type="dxa"/>
            <w:vAlign w:val="bottom"/>
            <w:gridSpan w:val="3"/>
          </w:tcPr>
          <w:p>
            <w:pPr>
              <w:spacing w:after="0" w:line="149" w:lineRule="exact"/>
              <w:rPr>
                <w:sz w:val="20"/>
                <w:szCs w:val="20"/>
                <w:color w:val="auto"/>
              </w:rPr>
            </w:pPr>
            <w:r>
              <w:rPr>
                <w:rFonts w:ascii="Times New Roman" w:cs="Times New Roman" w:eastAsia="Times New Roman" w:hAnsi="Times New Roman"/>
                <w:sz w:val="15"/>
                <w:szCs w:val="15"/>
                <w:color w:val="231F20"/>
              </w:rPr>
              <w:t>Issuance of ordinary shares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under the ESPP</w:t>
            </w:r>
          </w:p>
        </w:tc>
        <w:tc>
          <w:tcPr>
            <w:tcW w:w="120" w:type="dxa"/>
            <w:vAlign w:val="bottom"/>
            <w:tcBorders>
              <w:bottom w:val="single" w:sz="8" w:color="E2E3E4"/>
            </w:tcBorders>
          </w:tcPr>
          <w:p>
            <w:pPr>
              <w:spacing w:after="0"/>
              <w:rPr>
                <w:sz w:val="17"/>
                <w:szCs w:val="17"/>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225,913</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748</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748</w:t>
            </w:r>
          </w:p>
        </w:tc>
        <w:tc>
          <w:tcPr>
            <w:tcW w:w="14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720" w:type="dxa"/>
            <w:vAlign w:val="bottom"/>
            <w:shd w:val="clear" w:color="auto" w:fill="E2E3E4"/>
          </w:tcPr>
          <w:p>
            <w:pPr>
              <w:spacing w:after="0" w:line="164" w:lineRule="exact"/>
              <w:rPr>
                <w:sz w:val="20"/>
                <w:szCs w:val="20"/>
                <w:color w:val="auto"/>
              </w:rPr>
            </w:pPr>
            <w:r>
              <w:rPr>
                <w:rFonts w:ascii="Times New Roman" w:cs="Times New Roman" w:eastAsia="Times New Roman" w:hAnsi="Times New Roman"/>
                <w:sz w:val="15"/>
                <w:szCs w:val="15"/>
                <w:color w:val="231F20"/>
              </w:rPr>
              <w:t>Other comprehensive loss</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(95</w:t>
            </w:r>
          </w:p>
        </w:tc>
        <w:tc>
          <w:tcPr>
            <w:tcW w:w="130" w:type="dxa"/>
            <w:vAlign w:val="bottom"/>
            <w:gridSpan w:val="2"/>
            <w:shd w:val="clear" w:color="auto" w:fill="E2E3E4"/>
          </w:tcPr>
          <w:p>
            <w:pPr>
              <w:jc w:val="right"/>
              <w:ind w:right="90"/>
              <w:spacing w:after="0"/>
              <w:rPr>
                <w:sz w:val="20"/>
                <w:szCs w:val="20"/>
                <w:color w:val="auto"/>
              </w:rPr>
            </w:pPr>
            <w:r>
              <w:rPr>
                <w:rFonts w:ascii="Times New Roman" w:cs="Times New Roman" w:eastAsia="Times New Roman" w:hAnsi="Times New Roman"/>
                <w:sz w:val="8"/>
                <w:szCs w:val="8"/>
                <w:color w:val="231F20"/>
                <w:w w:val="73"/>
              </w:rPr>
              <w:t>)</w:t>
            </w: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4"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(95</w:t>
            </w:r>
          </w:p>
        </w:tc>
        <w:tc>
          <w:tcPr>
            <w:tcW w:w="140" w:type="dxa"/>
            <w:vAlign w:val="bottom"/>
            <w:shd w:val="clear" w:color="auto" w:fill="E2E3E4"/>
          </w:tcPr>
          <w:p>
            <w:pPr>
              <w:jc w:val="right"/>
              <w:ind w:right="7"/>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Net loss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91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90" w:type="dxa"/>
            <w:vAlign w:val="bottom"/>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1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(57,513 )</w:t>
            </w: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231F20"/>
              </w:rPr>
              <w:t>(57,513 )</w:t>
            </w: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720" w:type="dxa"/>
            <w:vAlign w:val="bottom"/>
            <w:tcBorders>
              <w:top w:val="single" w:sz="8" w:color="E2E3E4"/>
            </w:tcBorders>
            <w:shd w:val="clear" w:color="auto" w:fill="E2E3E4"/>
          </w:tcPr>
          <w:p>
            <w:pPr>
              <w:spacing w:after="0" w:line="151" w:lineRule="exact"/>
              <w:rPr>
                <w:sz w:val="20"/>
                <w:szCs w:val="20"/>
                <w:color w:val="auto"/>
              </w:rPr>
            </w:pPr>
            <w:r>
              <w:rPr>
                <w:rFonts w:ascii="Times New Roman" w:cs="Times New Roman" w:eastAsia="Times New Roman" w:hAnsi="Times New Roman"/>
                <w:sz w:val="15"/>
                <w:szCs w:val="15"/>
                <w:b w:val="1"/>
                <w:bCs w:val="1"/>
                <w:color w:val="231F20"/>
              </w:rPr>
              <w:t>Balance at December 31, 2023</w:t>
            </w:r>
          </w:p>
        </w:tc>
        <w:tc>
          <w:tcPr>
            <w:tcW w:w="14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231F20"/>
              <w:bottom w:val="single" w:sz="8" w:color="231F20"/>
            </w:tcBorders>
            <w:shd w:val="clear" w:color="auto" w:fill="E2E3E4"/>
          </w:tcPr>
          <w:p>
            <w:pPr>
              <w:spacing w:after="0"/>
              <w:rPr>
                <w:sz w:val="13"/>
                <w:szCs w:val="13"/>
                <w:color w:val="auto"/>
              </w:rPr>
            </w:pPr>
          </w:p>
        </w:tc>
        <w:tc>
          <w:tcPr>
            <w:tcW w:w="102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3,901,348</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30" w:type="dxa"/>
            <w:vAlign w:val="bottom"/>
            <w:tcBorders>
              <w:top w:val="single" w:sz="8" w:color="231F20"/>
              <w:bottom w:val="single" w:sz="8" w:color="231F20"/>
            </w:tcBorders>
            <w:shd w:val="clear" w:color="auto" w:fill="E2E3E4"/>
          </w:tcPr>
          <w:p>
            <w:pPr>
              <w:jc w:val="right"/>
              <w:ind w:right="18"/>
              <w:spacing w:after="0"/>
              <w:rPr>
                <w:sz w:val="20"/>
                <w:szCs w:val="20"/>
                <w:color w:val="auto"/>
              </w:rPr>
            </w:pPr>
            <w:r>
              <w:rPr>
                <w:rFonts w:ascii="Times New Roman" w:cs="Times New Roman" w:eastAsia="Times New Roman" w:hAnsi="Times New Roman"/>
                <w:sz w:val="10"/>
                <w:szCs w:val="10"/>
                <w:color w:val="231F20"/>
                <w:w w:val="79"/>
              </w:rPr>
              <w:t>$</w:t>
            </w:r>
          </w:p>
        </w:tc>
        <w:tc>
          <w:tcPr>
            <w:tcW w:w="91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7,874</w:t>
            </w:r>
          </w:p>
        </w:tc>
        <w:tc>
          <w:tcPr>
            <w:tcW w:w="300" w:type="dxa"/>
            <w:vAlign w:val="bottom"/>
            <w:tcBorders>
              <w:top w:val="single" w:sz="8" w:color="E2E3E4"/>
              <w:right w:val="single" w:sz="8" w:color="231F20"/>
            </w:tcBorders>
            <w:shd w:val="clear" w:color="auto" w:fill="E2E3E4"/>
          </w:tcPr>
          <w:p>
            <w:pPr>
              <w:spacing w:after="0"/>
              <w:rPr>
                <w:sz w:val="13"/>
                <w:szCs w:val="13"/>
                <w:color w:val="auto"/>
              </w:rPr>
            </w:pPr>
          </w:p>
        </w:tc>
        <w:tc>
          <w:tcPr>
            <w:tcW w:w="10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40" w:type="dxa"/>
            <w:vAlign w:val="bottom"/>
            <w:tcBorders>
              <w:top w:val="single" w:sz="8" w:color="231F20"/>
              <w:bottom w:val="single" w:sz="8" w:color="231F20"/>
            </w:tcBorders>
            <w:shd w:val="clear" w:color="auto" w:fill="E2E3E4"/>
          </w:tcPr>
          <w:p>
            <w:pPr>
              <w:spacing w:after="0"/>
              <w:rPr>
                <w:sz w:val="13"/>
                <w:szCs w:val="13"/>
                <w:color w:val="auto"/>
              </w:rPr>
            </w:pPr>
          </w:p>
        </w:tc>
        <w:tc>
          <w:tcPr>
            <w:tcW w:w="108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119,162,234</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6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935,367</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8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129,237</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8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231F20"/>
              <w:bottom w:val="single" w:sz="8" w:color="231F20"/>
            </w:tcBorders>
            <w:shd w:val="clear" w:color="auto" w:fill="E2E3E4"/>
          </w:tcPr>
          <w:p>
            <w:pPr>
              <w:spacing w:after="0"/>
              <w:rPr>
                <w:sz w:val="13"/>
                <w:szCs w:val="13"/>
                <w:color w:val="auto"/>
              </w:rPr>
            </w:pPr>
          </w:p>
        </w:tc>
        <w:tc>
          <w:tcPr>
            <w:tcW w:w="96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(124</w:t>
            </w:r>
          </w:p>
        </w:tc>
        <w:tc>
          <w:tcPr>
            <w:tcW w:w="130" w:type="dxa"/>
            <w:vAlign w:val="bottom"/>
            <w:tcBorders>
              <w:top w:val="single" w:sz="8" w:color="E2E3E4"/>
            </w:tcBorders>
            <w:gridSpan w:val="2"/>
            <w:shd w:val="clear" w:color="auto" w:fill="E2E3E4"/>
          </w:tcPr>
          <w:p>
            <w:pPr>
              <w:jc w:val="right"/>
              <w:ind w:right="90"/>
              <w:spacing w:after="0"/>
              <w:rPr>
                <w:sz w:val="20"/>
                <w:szCs w:val="20"/>
                <w:color w:val="auto"/>
              </w:rPr>
            </w:pPr>
            <w:r>
              <w:rPr>
                <w:rFonts w:ascii="Times New Roman" w:cs="Times New Roman" w:eastAsia="Times New Roman" w:hAnsi="Times New Roman"/>
                <w:sz w:val="8"/>
                <w:szCs w:val="8"/>
                <w:color w:val="231F20"/>
                <w:w w:val="73"/>
              </w:rPr>
              <w:t>)</w:t>
            </w:r>
          </w:p>
        </w:tc>
        <w:tc>
          <w:tcPr>
            <w:tcW w:w="13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0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231F20"/>
              <w:bottom w:val="single" w:sz="8" w:color="231F20"/>
            </w:tcBorders>
            <w:shd w:val="clear" w:color="auto" w:fill="E2E3E4"/>
          </w:tcPr>
          <w:p>
            <w:pPr>
              <w:spacing w:after="0"/>
              <w:rPr>
                <w:sz w:val="13"/>
                <w:szCs w:val="13"/>
                <w:color w:val="auto"/>
              </w:rPr>
            </w:pPr>
          </w:p>
        </w:tc>
        <w:tc>
          <w:tcPr>
            <w:tcW w:w="94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(1,024,850</w:t>
            </w:r>
          </w:p>
        </w:tc>
        <w:tc>
          <w:tcPr>
            <w:tcW w:w="130" w:type="dxa"/>
            <w:vAlign w:val="bottom"/>
            <w:tcBorders>
              <w:top w:val="single" w:sz="8" w:color="E2E3E4"/>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13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0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40" w:type="dxa"/>
            <w:vAlign w:val="bottom"/>
            <w:tcBorders>
              <w:top w:val="single" w:sz="8" w:color="231F20"/>
              <w:bottom w:val="single" w:sz="8" w:color="231F20"/>
            </w:tcBorders>
            <w:shd w:val="clear" w:color="auto" w:fill="E2E3E4"/>
          </w:tcPr>
          <w:p>
            <w:pPr>
              <w:spacing w:after="0"/>
              <w:rPr>
                <w:sz w:val="13"/>
                <w:szCs w:val="13"/>
                <w:color w:val="auto"/>
              </w:rPr>
            </w:pPr>
          </w:p>
        </w:tc>
        <w:tc>
          <w:tcPr>
            <w:tcW w:w="960" w:type="dxa"/>
            <w:vAlign w:val="bottom"/>
            <w:tcBorders>
              <w:top w:val="single" w:sz="8" w:color="231F20"/>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39,630</w:t>
            </w:r>
          </w:p>
        </w:tc>
        <w:tc>
          <w:tcPr>
            <w:tcW w:w="140" w:type="dxa"/>
            <w:vAlign w:val="bottom"/>
            <w:tcBorders>
              <w:top w:val="single" w:sz="8" w:color="E2E3E4"/>
            </w:tcBorders>
            <w:shd w:val="clear" w:color="auto" w:fill="E2E3E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80" w:type="dxa"/>
            <w:vAlign w:val="bottom"/>
            <w:gridSpan w:val="3"/>
            <w:vMerge w:val="restart"/>
          </w:tcPr>
          <w:p>
            <w:pPr>
              <w:spacing w:after="0" w:line="171" w:lineRule="exact"/>
              <w:rPr>
                <w:sz w:val="20"/>
                <w:szCs w:val="20"/>
                <w:color w:val="auto"/>
              </w:rPr>
            </w:pPr>
            <w:r>
              <w:rPr>
                <w:rFonts w:ascii="Times New Roman" w:cs="Times New Roman" w:eastAsia="Times New Roman" w:hAnsi="Times New Roman"/>
                <w:sz w:val="15"/>
                <w:szCs w:val="15"/>
                <w:color w:val="231F20"/>
              </w:rPr>
              <w:t>Issuance of ordinary shares,</w:t>
            </w:r>
          </w:p>
        </w:tc>
        <w:tc>
          <w:tcPr>
            <w:tcW w:w="1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231F20"/>
            </w:tcBorders>
          </w:tcPr>
          <w:p>
            <w:pPr>
              <w:spacing w:after="0" w:line="20" w:lineRule="exact"/>
              <w:rPr>
                <w:sz w:val="1"/>
                <w:szCs w:val="1"/>
                <w:color w:val="auto"/>
              </w:rPr>
            </w:pPr>
          </w:p>
        </w:tc>
        <w:tc>
          <w:tcPr>
            <w:tcW w:w="910" w:type="dxa"/>
            <w:vAlign w:val="bottom"/>
            <w:tcBorders>
              <w:bottom w:val="single" w:sz="8" w:color="231F20"/>
            </w:tcBorders>
          </w:tcPr>
          <w:p>
            <w:pPr>
              <w:spacing w:after="0" w:line="20" w:lineRule="exact"/>
              <w:rPr>
                <w:sz w:val="1"/>
                <w:szCs w:val="1"/>
                <w:color w:val="auto"/>
              </w:rPr>
            </w:pPr>
          </w:p>
        </w:tc>
        <w:tc>
          <w:tcPr>
            <w:tcW w:w="300" w:type="dxa"/>
            <w:vAlign w:val="bottom"/>
            <w:tcBorders>
              <w:right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0" w:type="dxa"/>
            <w:vAlign w:val="bottom"/>
          </w:tcPr>
          <w:p>
            <w:pPr>
              <w:spacing w:after="0"/>
              <w:rPr>
                <w:sz w:val="11"/>
                <w:szCs w:val="11"/>
                <w:color w:val="auto"/>
              </w:rPr>
            </w:pPr>
          </w:p>
        </w:tc>
        <w:tc>
          <w:tcPr>
            <w:tcW w:w="2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910" w:type="dxa"/>
            <w:vAlign w:val="bottom"/>
          </w:tcPr>
          <w:p>
            <w:pPr>
              <w:spacing w:after="0"/>
              <w:rPr>
                <w:sz w:val="11"/>
                <w:szCs w:val="11"/>
                <w:color w:val="auto"/>
              </w:rPr>
            </w:pPr>
          </w:p>
        </w:tc>
        <w:tc>
          <w:tcPr>
            <w:tcW w:w="300" w:type="dxa"/>
            <w:vAlign w:val="bottom"/>
            <w:tcBorders>
              <w:right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net of offering costs</w:t>
            </w:r>
          </w:p>
        </w:tc>
        <w:tc>
          <w:tcPr>
            <w:tcW w:w="120" w:type="dxa"/>
            <w:vAlign w:val="bottom"/>
            <w:tcBorders>
              <w:bottom w:val="single" w:sz="8" w:color="E2E3E4"/>
            </w:tcBorders>
          </w:tcPr>
          <w:p>
            <w:pPr>
              <w:spacing w:after="0"/>
              <w:rPr>
                <w:sz w:val="17"/>
                <w:szCs w:val="17"/>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29,875,001</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215,796</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215,796</w:t>
            </w:r>
          </w:p>
        </w:tc>
        <w:tc>
          <w:tcPr>
            <w:tcW w:w="14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80" w:type="dxa"/>
            <w:vAlign w:val="bottom"/>
            <w:vMerge w:val="restart"/>
            <w:textDirection w:val="tbRl"/>
          </w:tcPr>
          <w:p>
            <w:pPr>
              <w:jc w:val="right"/>
              <w:ind w:left="17"/>
              <w:spacing w:after="0"/>
              <w:rPr>
                <w:sz w:val="20"/>
                <w:szCs w:val="20"/>
                <w:color w:val="auto"/>
              </w:rPr>
            </w:pPr>
            <w:r>
              <w:rPr>
                <w:rFonts w:ascii="Times New Roman" w:cs="Times New Roman" w:eastAsia="Times New Roman" w:hAnsi="Times New Roman"/>
                <w:sz w:val="19"/>
                <w:szCs w:val="19"/>
                <w:color w:val="231F20"/>
              </w:rPr>
              <w:t>-F</w:t>
            </w:r>
          </w:p>
        </w:tc>
        <w:tc>
          <w:tcPr>
            <w:tcW w:w="2720" w:type="dxa"/>
            <w:vAlign w:val="bottom"/>
            <w:shd w:val="clear" w:color="auto" w:fill="E2E3E4"/>
          </w:tcPr>
          <w:p>
            <w:pPr>
              <w:spacing w:after="0" w:line="164" w:lineRule="exact"/>
              <w:rPr>
                <w:sz w:val="20"/>
                <w:szCs w:val="20"/>
                <w:color w:val="auto"/>
              </w:rPr>
            </w:pPr>
            <w:r>
              <w:rPr>
                <w:rFonts w:ascii="Times New Roman" w:cs="Times New Roman" w:eastAsia="Times New Roman" w:hAnsi="Times New Roman"/>
                <w:sz w:val="15"/>
                <w:szCs w:val="15"/>
                <w:color w:val="231F20"/>
              </w:rPr>
              <w:t>Issuance of ordinary shares pursuant to</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spacing w:after="0"/>
              <w:rPr>
                <w:sz w:val="14"/>
                <w:szCs w:val="14"/>
                <w:color w:val="auto"/>
              </w:rPr>
            </w:pP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80" w:type="dxa"/>
            <w:vAlign w:val="bottom"/>
            <w:vMerge w:val="continue"/>
          </w:tcPr>
          <w:p>
            <w:pPr>
              <w:spacing w:after="0"/>
              <w:rPr>
                <w:sz w:val="8"/>
                <w:szCs w:val="8"/>
                <w:color w:val="auto"/>
              </w:rPr>
            </w:pPr>
          </w:p>
        </w:tc>
        <w:tc>
          <w:tcPr>
            <w:tcW w:w="2720" w:type="dxa"/>
            <w:vAlign w:val="bottom"/>
            <w:vMerge w:val="restart"/>
            <w:shd w:val="clear" w:color="auto" w:fill="E2E3E4"/>
          </w:tcPr>
          <w:p>
            <w:pPr>
              <w:ind w:left="100"/>
              <w:spacing w:after="0" w:line="165" w:lineRule="exact"/>
              <w:rPr>
                <w:sz w:val="20"/>
                <w:szCs w:val="20"/>
                <w:color w:val="auto"/>
              </w:rPr>
            </w:pPr>
            <w:r>
              <w:rPr>
                <w:rFonts w:ascii="Times New Roman" w:cs="Times New Roman" w:eastAsia="Times New Roman" w:hAnsi="Times New Roman"/>
                <w:sz w:val="15"/>
                <w:szCs w:val="15"/>
                <w:color w:val="231F20"/>
              </w:rPr>
              <w:t>the at-the-market equity program, net</w:t>
            </w:r>
          </w:p>
        </w:tc>
        <w:tc>
          <w:tcPr>
            <w:tcW w:w="14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120" w:type="dxa"/>
            <w:vAlign w:val="bottom"/>
            <w:shd w:val="clear" w:color="auto" w:fill="E2E3E4"/>
          </w:tcPr>
          <w:p>
            <w:pPr>
              <w:spacing w:after="0"/>
              <w:rPr>
                <w:sz w:val="8"/>
                <w:szCs w:val="8"/>
                <w:color w:val="auto"/>
              </w:rPr>
            </w:pPr>
          </w:p>
        </w:tc>
        <w:tc>
          <w:tcPr>
            <w:tcW w:w="1020" w:type="dxa"/>
            <w:vAlign w:val="bottom"/>
            <w:vMerge w:val="restart"/>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130" w:type="dxa"/>
            <w:vAlign w:val="bottom"/>
            <w:shd w:val="clear" w:color="auto" w:fill="E2E3E4"/>
          </w:tcPr>
          <w:p>
            <w:pPr>
              <w:spacing w:after="0"/>
              <w:rPr>
                <w:sz w:val="8"/>
                <w:szCs w:val="8"/>
                <w:color w:val="auto"/>
              </w:rPr>
            </w:pPr>
          </w:p>
        </w:tc>
        <w:tc>
          <w:tcPr>
            <w:tcW w:w="910" w:type="dxa"/>
            <w:vAlign w:val="bottom"/>
            <w:vMerge w:val="restart"/>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8"/>
                <w:szCs w:val="8"/>
                <w:color w:val="auto"/>
              </w:rPr>
            </w:pPr>
          </w:p>
        </w:tc>
        <w:tc>
          <w:tcPr>
            <w:tcW w:w="10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140" w:type="dxa"/>
            <w:vAlign w:val="bottom"/>
            <w:shd w:val="clear" w:color="auto" w:fill="E2E3E4"/>
          </w:tcPr>
          <w:p>
            <w:pPr>
              <w:spacing w:after="0"/>
              <w:rPr>
                <w:sz w:val="8"/>
                <w:szCs w:val="8"/>
                <w:color w:val="auto"/>
              </w:rPr>
            </w:pPr>
          </w:p>
        </w:tc>
        <w:tc>
          <w:tcPr>
            <w:tcW w:w="1080" w:type="dxa"/>
            <w:vAlign w:val="bottom"/>
            <w:vMerge w:val="restart"/>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2,952,591</w:t>
            </w:r>
          </w:p>
        </w:tc>
        <w:tc>
          <w:tcPr>
            <w:tcW w:w="26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120" w:type="dxa"/>
            <w:vAlign w:val="bottom"/>
            <w:shd w:val="clear" w:color="auto" w:fill="E2E3E4"/>
          </w:tcPr>
          <w:p>
            <w:pPr>
              <w:spacing w:after="0"/>
              <w:rPr>
                <w:sz w:val="8"/>
                <w:szCs w:val="8"/>
                <w:color w:val="auto"/>
              </w:rPr>
            </w:pPr>
          </w:p>
        </w:tc>
        <w:tc>
          <w:tcPr>
            <w:tcW w:w="960" w:type="dxa"/>
            <w:vAlign w:val="bottom"/>
            <w:vMerge w:val="restart"/>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20,380</w:t>
            </w:r>
          </w:p>
        </w:tc>
        <w:tc>
          <w:tcPr>
            <w:tcW w:w="26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120" w:type="dxa"/>
            <w:vAlign w:val="bottom"/>
            <w:shd w:val="clear" w:color="auto" w:fill="E2E3E4"/>
          </w:tcPr>
          <w:p>
            <w:pPr>
              <w:spacing w:after="0"/>
              <w:rPr>
                <w:sz w:val="8"/>
                <w:szCs w:val="8"/>
                <w:color w:val="auto"/>
              </w:rPr>
            </w:pPr>
          </w:p>
        </w:tc>
        <w:tc>
          <w:tcPr>
            <w:tcW w:w="980" w:type="dxa"/>
            <w:vAlign w:val="bottom"/>
            <w:vMerge w:val="restart"/>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80" w:type="dxa"/>
            <w:vAlign w:val="bottom"/>
            <w:shd w:val="clear" w:color="auto" w:fill="E2E3E4"/>
          </w:tcPr>
          <w:p>
            <w:pPr>
              <w:spacing w:after="0"/>
              <w:rPr>
                <w:sz w:val="8"/>
                <w:szCs w:val="8"/>
                <w:color w:val="auto"/>
              </w:rPr>
            </w:pPr>
          </w:p>
        </w:tc>
        <w:tc>
          <w:tcPr>
            <w:tcW w:w="40" w:type="dxa"/>
            <w:vAlign w:val="bottom"/>
            <w:shd w:val="clear" w:color="auto" w:fill="E2E3E4"/>
          </w:tcPr>
          <w:p>
            <w:pPr>
              <w:spacing w:after="0"/>
              <w:rPr>
                <w:sz w:val="8"/>
                <w:szCs w:val="8"/>
                <w:color w:val="auto"/>
              </w:rPr>
            </w:pPr>
          </w:p>
        </w:tc>
        <w:tc>
          <w:tcPr>
            <w:tcW w:w="960" w:type="dxa"/>
            <w:vAlign w:val="bottom"/>
            <w:vMerge w:val="restart"/>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8"/>
                <w:szCs w:val="8"/>
                <w:color w:val="auto"/>
              </w:rPr>
            </w:pPr>
          </w:p>
        </w:tc>
        <w:tc>
          <w:tcPr>
            <w:tcW w:w="110" w:type="dxa"/>
            <w:vAlign w:val="bottom"/>
            <w:shd w:val="clear" w:color="auto" w:fill="E2E3E4"/>
          </w:tcPr>
          <w:p>
            <w:pPr>
              <w:spacing w:after="0"/>
              <w:rPr>
                <w:sz w:val="8"/>
                <w:szCs w:val="8"/>
                <w:color w:val="auto"/>
              </w:rPr>
            </w:pPr>
          </w:p>
        </w:tc>
        <w:tc>
          <w:tcPr>
            <w:tcW w:w="13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100" w:type="dxa"/>
            <w:vAlign w:val="bottom"/>
            <w:shd w:val="clear" w:color="auto" w:fill="E2E3E4"/>
          </w:tcPr>
          <w:p>
            <w:pPr>
              <w:spacing w:after="0"/>
              <w:rPr>
                <w:sz w:val="8"/>
                <w:szCs w:val="8"/>
                <w:color w:val="auto"/>
              </w:rPr>
            </w:pPr>
          </w:p>
        </w:tc>
        <w:tc>
          <w:tcPr>
            <w:tcW w:w="40" w:type="dxa"/>
            <w:vAlign w:val="bottom"/>
            <w:shd w:val="clear" w:color="auto" w:fill="E2E3E4"/>
          </w:tcPr>
          <w:p>
            <w:pPr>
              <w:spacing w:after="0"/>
              <w:rPr>
                <w:sz w:val="8"/>
                <w:szCs w:val="8"/>
                <w:color w:val="auto"/>
              </w:rPr>
            </w:pPr>
          </w:p>
        </w:tc>
        <w:tc>
          <w:tcPr>
            <w:tcW w:w="940" w:type="dxa"/>
            <w:vAlign w:val="bottom"/>
            <w:vMerge w:val="restart"/>
            <w:shd w:val="clear" w:color="auto" w:fill="E2E3E4"/>
          </w:tcPr>
          <w:p>
            <w:pPr>
              <w:ind w:left="780"/>
              <w:spacing w:after="0" w:line="165"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8"/>
                <w:szCs w:val="8"/>
                <w:color w:val="auto"/>
              </w:rPr>
            </w:pPr>
          </w:p>
        </w:tc>
        <w:tc>
          <w:tcPr>
            <w:tcW w:w="130" w:type="dxa"/>
            <w:vAlign w:val="bottom"/>
            <w:shd w:val="clear" w:color="auto" w:fill="E2E3E4"/>
          </w:tcPr>
          <w:p>
            <w:pPr>
              <w:spacing w:after="0"/>
              <w:rPr>
                <w:sz w:val="8"/>
                <w:szCs w:val="8"/>
                <w:color w:val="auto"/>
              </w:rPr>
            </w:pPr>
          </w:p>
        </w:tc>
        <w:tc>
          <w:tcPr>
            <w:tcW w:w="20" w:type="dxa"/>
            <w:vAlign w:val="bottom"/>
            <w:shd w:val="clear" w:color="auto" w:fill="E2E3E4"/>
          </w:tcPr>
          <w:p>
            <w:pPr>
              <w:spacing w:after="0"/>
              <w:rPr>
                <w:sz w:val="8"/>
                <w:szCs w:val="8"/>
                <w:color w:val="auto"/>
              </w:rPr>
            </w:pPr>
          </w:p>
        </w:tc>
        <w:tc>
          <w:tcPr>
            <w:tcW w:w="100" w:type="dxa"/>
            <w:vAlign w:val="bottom"/>
            <w:shd w:val="clear" w:color="auto" w:fill="E2E3E4"/>
          </w:tcPr>
          <w:p>
            <w:pPr>
              <w:spacing w:after="0"/>
              <w:rPr>
                <w:sz w:val="8"/>
                <w:szCs w:val="8"/>
                <w:color w:val="auto"/>
              </w:rPr>
            </w:pPr>
          </w:p>
        </w:tc>
        <w:tc>
          <w:tcPr>
            <w:tcW w:w="40" w:type="dxa"/>
            <w:vAlign w:val="bottom"/>
            <w:shd w:val="clear" w:color="auto" w:fill="E2E3E4"/>
          </w:tcPr>
          <w:p>
            <w:pPr>
              <w:spacing w:after="0"/>
              <w:rPr>
                <w:sz w:val="8"/>
                <w:szCs w:val="8"/>
                <w:color w:val="auto"/>
              </w:rPr>
            </w:pPr>
          </w:p>
        </w:tc>
        <w:tc>
          <w:tcPr>
            <w:tcW w:w="960" w:type="dxa"/>
            <w:vAlign w:val="bottom"/>
            <w:vMerge w:val="restart"/>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20,380</w:t>
            </w:r>
          </w:p>
        </w:tc>
        <w:tc>
          <w:tcPr>
            <w:tcW w:w="140" w:type="dxa"/>
            <w:vAlign w:val="bottom"/>
            <w:shd w:val="clear" w:color="auto" w:fill="E2E3E4"/>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80" w:type="dxa"/>
            <w:vAlign w:val="bottom"/>
            <w:vMerge w:val="restart"/>
            <w:textDirection w:val="tbRl"/>
          </w:tcPr>
          <w:p>
            <w:pPr>
              <w:jc w:val="right"/>
              <w:ind w:left="7"/>
              <w:spacing w:after="0"/>
              <w:rPr>
                <w:sz w:val="20"/>
                <w:szCs w:val="20"/>
                <w:color w:val="auto"/>
              </w:rPr>
            </w:pPr>
            <w:r>
              <w:rPr>
                <w:rFonts w:ascii="PMingLiU" w:cs="PMingLiU" w:eastAsia="PMingLiU" w:hAnsi="PMingLiU"/>
                <w:sz w:val="19"/>
                <w:szCs w:val="19"/>
                <w:color w:val="231F20"/>
              </w:rPr>
              <w:t/>
            </w:r>
          </w:p>
        </w:tc>
        <w:tc>
          <w:tcPr>
            <w:tcW w:w="2720" w:type="dxa"/>
            <w:vAlign w:val="bottom"/>
            <w:vMerge w:val="continue"/>
            <w:shd w:val="clear" w:color="auto" w:fill="E2E3E4"/>
          </w:tcPr>
          <w:p>
            <w:pPr>
              <w:spacing w:after="0"/>
              <w:rPr>
                <w:sz w:val="5"/>
                <w:szCs w:val="5"/>
                <w:color w:val="auto"/>
              </w:rPr>
            </w:pPr>
          </w:p>
        </w:tc>
        <w:tc>
          <w:tcPr>
            <w:tcW w:w="14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20" w:type="dxa"/>
            <w:vAlign w:val="bottom"/>
            <w:shd w:val="clear" w:color="auto" w:fill="E2E3E4"/>
          </w:tcPr>
          <w:p>
            <w:pPr>
              <w:spacing w:after="0"/>
              <w:rPr>
                <w:sz w:val="5"/>
                <w:szCs w:val="5"/>
                <w:color w:val="auto"/>
              </w:rPr>
            </w:pPr>
          </w:p>
        </w:tc>
        <w:tc>
          <w:tcPr>
            <w:tcW w:w="1020" w:type="dxa"/>
            <w:vAlign w:val="bottom"/>
            <w:vMerge w:val="continue"/>
            <w:shd w:val="clear" w:color="auto" w:fill="E2E3E4"/>
          </w:tcPr>
          <w:p>
            <w:pPr>
              <w:spacing w:after="0"/>
              <w:rPr>
                <w:sz w:val="5"/>
                <w:szCs w:val="5"/>
                <w:color w:val="auto"/>
              </w:rPr>
            </w:pPr>
          </w:p>
        </w:tc>
        <w:tc>
          <w:tcPr>
            <w:tcW w:w="26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30" w:type="dxa"/>
            <w:vAlign w:val="bottom"/>
            <w:shd w:val="clear" w:color="auto" w:fill="E2E3E4"/>
          </w:tcPr>
          <w:p>
            <w:pPr>
              <w:spacing w:after="0"/>
              <w:rPr>
                <w:sz w:val="5"/>
                <w:szCs w:val="5"/>
                <w:color w:val="auto"/>
              </w:rPr>
            </w:pPr>
          </w:p>
        </w:tc>
        <w:tc>
          <w:tcPr>
            <w:tcW w:w="910" w:type="dxa"/>
            <w:vAlign w:val="bottom"/>
            <w:vMerge w:val="continue"/>
            <w:shd w:val="clear" w:color="auto" w:fill="E2E3E4"/>
          </w:tcPr>
          <w:p>
            <w:pPr>
              <w:spacing w:after="0"/>
              <w:rPr>
                <w:sz w:val="5"/>
                <w:szCs w:val="5"/>
                <w:color w:val="auto"/>
              </w:rPr>
            </w:pPr>
          </w:p>
        </w:tc>
        <w:tc>
          <w:tcPr>
            <w:tcW w:w="300" w:type="dxa"/>
            <w:vAlign w:val="bottom"/>
            <w:tcBorders>
              <w:right w:val="single" w:sz="8" w:color="231F20"/>
            </w:tcBorders>
            <w:shd w:val="clear" w:color="auto" w:fill="E2E3E4"/>
          </w:tcPr>
          <w:p>
            <w:pPr>
              <w:spacing w:after="0"/>
              <w:rPr>
                <w:sz w:val="5"/>
                <w:szCs w:val="5"/>
                <w:color w:val="auto"/>
              </w:rPr>
            </w:pPr>
          </w:p>
        </w:tc>
        <w:tc>
          <w:tcPr>
            <w:tcW w:w="10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40" w:type="dxa"/>
            <w:vAlign w:val="bottom"/>
            <w:shd w:val="clear" w:color="auto" w:fill="E2E3E4"/>
          </w:tcPr>
          <w:p>
            <w:pPr>
              <w:spacing w:after="0"/>
              <w:rPr>
                <w:sz w:val="5"/>
                <w:szCs w:val="5"/>
                <w:color w:val="auto"/>
              </w:rPr>
            </w:pPr>
          </w:p>
        </w:tc>
        <w:tc>
          <w:tcPr>
            <w:tcW w:w="1080" w:type="dxa"/>
            <w:vAlign w:val="bottom"/>
            <w:vMerge w:val="continue"/>
            <w:shd w:val="clear" w:color="auto" w:fill="E2E3E4"/>
          </w:tcPr>
          <w:p>
            <w:pPr>
              <w:spacing w:after="0"/>
              <w:rPr>
                <w:sz w:val="5"/>
                <w:szCs w:val="5"/>
                <w:color w:val="auto"/>
              </w:rPr>
            </w:pPr>
          </w:p>
        </w:tc>
        <w:tc>
          <w:tcPr>
            <w:tcW w:w="26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20" w:type="dxa"/>
            <w:vAlign w:val="bottom"/>
            <w:shd w:val="clear" w:color="auto" w:fill="E2E3E4"/>
          </w:tcPr>
          <w:p>
            <w:pPr>
              <w:spacing w:after="0"/>
              <w:rPr>
                <w:sz w:val="5"/>
                <w:szCs w:val="5"/>
                <w:color w:val="auto"/>
              </w:rPr>
            </w:pPr>
          </w:p>
        </w:tc>
        <w:tc>
          <w:tcPr>
            <w:tcW w:w="960" w:type="dxa"/>
            <w:vAlign w:val="bottom"/>
            <w:vMerge w:val="continue"/>
            <w:shd w:val="clear" w:color="auto" w:fill="E2E3E4"/>
          </w:tcPr>
          <w:p>
            <w:pPr>
              <w:spacing w:after="0"/>
              <w:rPr>
                <w:sz w:val="5"/>
                <w:szCs w:val="5"/>
                <w:color w:val="auto"/>
              </w:rPr>
            </w:pPr>
          </w:p>
        </w:tc>
        <w:tc>
          <w:tcPr>
            <w:tcW w:w="26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20" w:type="dxa"/>
            <w:vAlign w:val="bottom"/>
            <w:shd w:val="clear" w:color="auto" w:fill="E2E3E4"/>
          </w:tcPr>
          <w:p>
            <w:pPr>
              <w:spacing w:after="0"/>
              <w:rPr>
                <w:sz w:val="5"/>
                <w:szCs w:val="5"/>
                <w:color w:val="auto"/>
              </w:rPr>
            </w:pPr>
          </w:p>
        </w:tc>
        <w:tc>
          <w:tcPr>
            <w:tcW w:w="980" w:type="dxa"/>
            <w:vAlign w:val="bottom"/>
            <w:vMerge w:val="continue"/>
            <w:shd w:val="clear" w:color="auto" w:fill="E2E3E4"/>
          </w:tcPr>
          <w:p>
            <w:pPr>
              <w:spacing w:after="0"/>
              <w:rPr>
                <w:sz w:val="5"/>
                <w:szCs w:val="5"/>
                <w:color w:val="auto"/>
              </w:rPr>
            </w:pPr>
          </w:p>
        </w:tc>
        <w:tc>
          <w:tcPr>
            <w:tcW w:w="26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80" w:type="dxa"/>
            <w:vAlign w:val="bottom"/>
            <w:shd w:val="clear" w:color="auto" w:fill="E2E3E4"/>
          </w:tcPr>
          <w:p>
            <w:pPr>
              <w:spacing w:after="0"/>
              <w:rPr>
                <w:sz w:val="5"/>
                <w:szCs w:val="5"/>
                <w:color w:val="auto"/>
              </w:rPr>
            </w:pPr>
          </w:p>
        </w:tc>
        <w:tc>
          <w:tcPr>
            <w:tcW w:w="40" w:type="dxa"/>
            <w:vAlign w:val="bottom"/>
            <w:shd w:val="clear" w:color="auto" w:fill="E2E3E4"/>
          </w:tcPr>
          <w:p>
            <w:pPr>
              <w:spacing w:after="0"/>
              <w:rPr>
                <w:sz w:val="5"/>
                <w:szCs w:val="5"/>
                <w:color w:val="auto"/>
              </w:rPr>
            </w:pPr>
          </w:p>
        </w:tc>
        <w:tc>
          <w:tcPr>
            <w:tcW w:w="960" w:type="dxa"/>
            <w:vAlign w:val="bottom"/>
            <w:vMerge w:val="continue"/>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10" w:type="dxa"/>
            <w:vAlign w:val="bottom"/>
            <w:shd w:val="clear" w:color="auto" w:fill="E2E3E4"/>
          </w:tcPr>
          <w:p>
            <w:pPr>
              <w:spacing w:after="0"/>
              <w:rPr>
                <w:sz w:val="5"/>
                <w:szCs w:val="5"/>
                <w:color w:val="auto"/>
              </w:rPr>
            </w:pPr>
          </w:p>
        </w:tc>
        <w:tc>
          <w:tcPr>
            <w:tcW w:w="13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00" w:type="dxa"/>
            <w:vAlign w:val="bottom"/>
            <w:shd w:val="clear" w:color="auto" w:fill="E2E3E4"/>
          </w:tcPr>
          <w:p>
            <w:pPr>
              <w:spacing w:after="0"/>
              <w:rPr>
                <w:sz w:val="5"/>
                <w:szCs w:val="5"/>
                <w:color w:val="auto"/>
              </w:rPr>
            </w:pPr>
          </w:p>
        </w:tc>
        <w:tc>
          <w:tcPr>
            <w:tcW w:w="40" w:type="dxa"/>
            <w:vAlign w:val="bottom"/>
            <w:shd w:val="clear" w:color="auto" w:fill="E2E3E4"/>
          </w:tcPr>
          <w:p>
            <w:pPr>
              <w:spacing w:after="0"/>
              <w:rPr>
                <w:sz w:val="5"/>
                <w:szCs w:val="5"/>
                <w:color w:val="auto"/>
              </w:rPr>
            </w:pPr>
          </w:p>
        </w:tc>
        <w:tc>
          <w:tcPr>
            <w:tcW w:w="940" w:type="dxa"/>
            <w:vAlign w:val="bottom"/>
            <w:vMerge w:val="continue"/>
            <w:shd w:val="clear" w:color="auto" w:fill="E2E3E4"/>
          </w:tcPr>
          <w:p>
            <w:pPr>
              <w:spacing w:after="0"/>
              <w:rPr>
                <w:sz w:val="5"/>
                <w:szCs w:val="5"/>
                <w:color w:val="auto"/>
              </w:rPr>
            </w:pPr>
          </w:p>
        </w:tc>
        <w:tc>
          <w:tcPr>
            <w:tcW w:w="130" w:type="dxa"/>
            <w:vAlign w:val="bottom"/>
            <w:shd w:val="clear" w:color="auto" w:fill="E2E3E4"/>
          </w:tcPr>
          <w:p>
            <w:pPr>
              <w:spacing w:after="0"/>
              <w:rPr>
                <w:sz w:val="5"/>
                <w:szCs w:val="5"/>
                <w:color w:val="auto"/>
              </w:rPr>
            </w:pPr>
          </w:p>
        </w:tc>
        <w:tc>
          <w:tcPr>
            <w:tcW w:w="130" w:type="dxa"/>
            <w:vAlign w:val="bottom"/>
            <w:shd w:val="clear" w:color="auto" w:fill="E2E3E4"/>
          </w:tcPr>
          <w:p>
            <w:pPr>
              <w:spacing w:after="0"/>
              <w:rPr>
                <w:sz w:val="5"/>
                <w:szCs w:val="5"/>
                <w:color w:val="auto"/>
              </w:rPr>
            </w:pPr>
          </w:p>
        </w:tc>
        <w:tc>
          <w:tcPr>
            <w:tcW w:w="20" w:type="dxa"/>
            <w:vAlign w:val="bottom"/>
            <w:shd w:val="clear" w:color="auto" w:fill="E2E3E4"/>
          </w:tcPr>
          <w:p>
            <w:pPr>
              <w:spacing w:after="0"/>
              <w:rPr>
                <w:sz w:val="5"/>
                <w:szCs w:val="5"/>
                <w:color w:val="auto"/>
              </w:rPr>
            </w:pPr>
          </w:p>
        </w:tc>
        <w:tc>
          <w:tcPr>
            <w:tcW w:w="100" w:type="dxa"/>
            <w:vAlign w:val="bottom"/>
            <w:shd w:val="clear" w:color="auto" w:fill="E2E3E4"/>
          </w:tcPr>
          <w:p>
            <w:pPr>
              <w:spacing w:after="0"/>
              <w:rPr>
                <w:sz w:val="5"/>
                <w:szCs w:val="5"/>
                <w:color w:val="auto"/>
              </w:rPr>
            </w:pPr>
          </w:p>
        </w:tc>
        <w:tc>
          <w:tcPr>
            <w:tcW w:w="40" w:type="dxa"/>
            <w:vAlign w:val="bottom"/>
            <w:shd w:val="clear" w:color="auto" w:fill="E2E3E4"/>
          </w:tcPr>
          <w:p>
            <w:pPr>
              <w:spacing w:after="0"/>
              <w:rPr>
                <w:sz w:val="5"/>
                <w:szCs w:val="5"/>
                <w:color w:val="auto"/>
              </w:rPr>
            </w:pPr>
          </w:p>
        </w:tc>
        <w:tc>
          <w:tcPr>
            <w:tcW w:w="960" w:type="dxa"/>
            <w:vAlign w:val="bottom"/>
            <w:vMerge w:val="continue"/>
            <w:shd w:val="clear" w:color="auto" w:fill="E2E3E4"/>
          </w:tcPr>
          <w:p>
            <w:pPr>
              <w:spacing w:after="0"/>
              <w:rPr>
                <w:sz w:val="5"/>
                <w:szCs w:val="5"/>
                <w:color w:val="auto"/>
              </w:rPr>
            </w:pPr>
          </w:p>
        </w:tc>
        <w:tc>
          <w:tcPr>
            <w:tcW w:w="140" w:type="dxa"/>
            <w:vAlign w:val="bottom"/>
            <w:shd w:val="clear" w:color="auto" w:fill="E2E3E4"/>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80" w:type="dxa"/>
            <w:vAlign w:val="bottom"/>
            <w:vMerge w:val="continue"/>
          </w:tcPr>
          <w:p>
            <w:pPr>
              <w:spacing w:after="0"/>
              <w:rPr>
                <w:sz w:val="2"/>
                <w:szCs w:val="2"/>
                <w:color w:val="auto"/>
              </w:rPr>
            </w:pPr>
          </w:p>
        </w:tc>
        <w:tc>
          <w:tcPr>
            <w:tcW w:w="2720" w:type="dxa"/>
            <w:vAlign w:val="bottom"/>
            <w:vMerge w:val="restart"/>
          </w:tcPr>
          <w:p>
            <w:pPr>
              <w:spacing w:after="0"/>
              <w:rPr>
                <w:sz w:val="20"/>
                <w:szCs w:val="20"/>
                <w:color w:val="auto"/>
              </w:rPr>
            </w:pPr>
            <w:r>
              <w:rPr>
                <w:rFonts w:ascii="Times New Roman" w:cs="Times New Roman" w:eastAsia="Times New Roman" w:hAnsi="Times New Roman"/>
                <w:sz w:val="15"/>
                <w:szCs w:val="15"/>
                <w:color w:val="231F20"/>
              </w:rPr>
              <w:t>Issuance of pre-funded warrants,</w:t>
            </w: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 w:type="dxa"/>
            <w:vAlign w:val="bottom"/>
          </w:tcPr>
          <w:p>
            <w:pPr>
              <w:spacing w:after="0"/>
              <w:rPr>
                <w:sz w:val="2"/>
                <w:szCs w:val="2"/>
                <w:color w:val="auto"/>
              </w:rPr>
            </w:pPr>
          </w:p>
        </w:tc>
        <w:tc>
          <w:tcPr>
            <w:tcW w:w="910" w:type="dxa"/>
            <w:vAlign w:val="bottom"/>
          </w:tcPr>
          <w:p>
            <w:pPr>
              <w:spacing w:after="0"/>
              <w:rPr>
                <w:sz w:val="2"/>
                <w:szCs w:val="2"/>
                <w:color w:val="auto"/>
              </w:rPr>
            </w:pPr>
          </w:p>
        </w:tc>
        <w:tc>
          <w:tcPr>
            <w:tcW w:w="300" w:type="dxa"/>
            <w:vAlign w:val="bottom"/>
            <w:tcBorders>
              <w:right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 w:type="dxa"/>
            <w:vAlign w:val="bottom"/>
          </w:tcPr>
          <w:p>
            <w:pPr>
              <w:spacing w:after="0"/>
              <w:rPr>
                <w:sz w:val="2"/>
                <w:szCs w:val="2"/>
                <w:color w:val="auto"/>
              </w:rPr>
            </w:pPr>
          </w:p>
        </w:tc>
        <w:tc>
          <w:tcPr>
            <w:tcW w:w="13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 w:type="dxa"/>
            <w:vAlign w:val="bottom"/>
          </w:tcPr>
          <w:p>
            <w:pPr>
              <w:spacing w:after="0"/>
              <w:rPr>
                <w:sz w:val="2"/>
                <w:szCs w:val="2"/>
                <w:color w:val="auto"/>
              </w:rPr>
            </w:pPr>
          </w:p>
        </w:tc>
        <w:tc>
          <w:tcPr>
            <w:tcW w:w="13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8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10" w:type="dxa"/>
            <w:vAlign w:val="bottom"/>
          </w:tcPr>
          <w:p>
            <w:pPr>
              <w:spacing w:after="0"/>
              <w:rPr>
                <w:sz w:val="13"/>
                <w:szCs w:val="13"/>
                <w:color w:val="auto"/>
              </w:rPr>
            </w:pPr>
          </w:p>
        </w:tc>
        <w:tc>
          <w:tcPr>
            <w:tcW w:w="300" w:type="dxa"/>
            <w:vAlign w:val="bottom"/>
            <w:tcBorders>
              <w:right w:val="single" w:sz="8" w:color="231F20"/>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720" w:type="dxa"/>
            <w:vAlign w:val="bottom"/>
            <w:tcBorders>
              <w:bottom w:val="single" w:sz="8" w:color="E2E3E4"/>
            </w:tcBorders>
          </w:tcPr>
          <w:p>
            <w:pPr>
              <w:ind w:left="100"/>
              <w:spacing w:after="0" w:line="168" w:lineRule="exact"/>
              <w:rPr>
                <w:sz w:val="20"/>
                <w:szCs w:val="20"/>
                <w:color w:val="auto"/>
              </w:rPr>
            </w:pPr>
            <w:r>
              <w:rPr>
                <w:rFonts w:ascii="Times New Roman" w:cs="Times New Roman" w:eastAsia="Times New Roman" w:hAnsi="Times New Roman"/>
                <w:sz w:val="15"/>
                <w:szCs w:val="15"/>
                <w:color w:val="231F20"/>
              </w:rPr>
              <w:t>net of offering costs</w:t>
            </w:r>
          </w:p>
        </w:tc>
        <w:tc>
          <w:tcPr>
            <w:tcW w:w="14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20" w:type="dxa"/>
            <w:vAlign w:val="bottom"/>
            <w:tcBorders>
              <w:bottom w:val="single" w:sz="8" w:color="E2E3E4"/>
            </w:tcBorders>
          </w:tcPr>
          <w:p>
            <w:pPr>
              <w:spacing w:after="0"/>
              <w:rPr>
                <w:sz w:val="14"/>
                <w:szCs w:val="14"/>
                <w:color w:val="auto"/>
              </w:rPr>
            </w:pPr>
          </w:p>
        </w:tc>
        <w:tc>
          <w:tcPr>
            <w:tcW w:w="1020" w:type="dxa"/>
            <w:vAlign w:val="bottom"/>
            <w:tcBorders>
              <w:bottom w:val="single" w:sz="8" w:color="E2E3E4"/>
            </w:tcBorders>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30" w:type="dxa"/>
            <w:vAlign w:val="bottom"/>
            <w:tcBorders>
              <w:bottom w:val="single" w:sz="8" w:color="E2E3E4"/>
            </w:tcBorders>
          </w:tcPr>
          <w:p>
            <w:pPr>
              <w:spacing w:after="0"/>
              <w:rPr>
                <w:sz w:val="14"/>
                <w:szCs w:val="14"/>
                <w:color w:val="auto"/>
              </w:rPr>
            </w:pPr>
          </w:p>
        </w:tc>
        <w:tc>
          <w:tcPr>
            <w:tcW w:w="910" w:type="dxa"/>
            <w:vAlign w:val="bottom"/>
            <w:tcBorders>
              <w:bottom w:val="single" w:sz="8" w:color="E2E3E4"/>
            </w:tcBorders>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40" w:type="dxa"/>
            <w:vAlign w:val="bottom"/>
            <w:tcBorders>
              <w:bottom w:val="single" w:sz="8" w:color="E2E3E4"/>
            </w:tcBorders>
          </w:tcPr>
          <w:p>
            <w:pPr>
              <w:spacing w:after="0"/>
              <w:rPr>
                <w:sz w:val="14"/>
                <w:szCs w:val="14"/>
                <w:color w:val="auto"/>
              </w:rPr>
            </w:pPr>
          </w:p>
        </w:tc>
        <w:tc>
          <w:tcPr>
            <w:tcW w:w="1080" w:type="dxa"/>
            <w:vAlign w:val="bottom"/>
            <w:tcBorders>
              <w:bottom w:val="single" w:sz="8" w:color="E2E3E4"/>
            </w:tcBorders>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20" w:type="dxa"/>
            <w:vAlign w:val="bottom"/>
            <w:tcBorders>
              <w:bottom w:val="single" w:sz="8" w:color="E2E3E4"/>
            </w:tcBorders>
          </w:tcPr>
          <w:p>
            <w:pPr>
              <w:spacing w:after="0"/>
              <w:rPr>
                <w:sz w:val="14"/>
                <w:szCs w:val="14"/>
                <w:color w:val="auto"/>
              </w:rPr>
            </w:pPr>
          </w:p>
        </w:tc>
        <w:tc>
          <w:tcPr>
            <w:tcW w:w="960" w:type="dxa"/>
            <w:vAlign w:val="bottom"/>
            <w:tcBorders>
              <w:bottom w:val="single" w:sz="8" w:color="E2E3E4"/>
            </w:tcBorders>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20" w:type="dxa"/>
            <w:vAlign w:val="bottom"/>
            <w:tcBorders>
              <w:bottom w:val="single" w:sz="8" w:color="E2E3E4"/>
            </w:tcBorders>
          </w:tcPr>
          <w:p>
            <w:pPr>
              <w:spacing w:after="0"/>
              <w:rPr>
                <w:sz w:val="14"/>
                <w:szCs w:val="14"/>
                <w:color w:val="auto"/>
              </w:rPr>
            </w:pPr>
          </w:p>
        </w:tc>
        <w:tc>
          <w:tcPr>
            <w:tcW w:w="980" w:type="dxa"/>
            <w:vAlign w:val="bottom"/>
            <w:tcBorders>
              <w:bottom w:val="single" w:sz="8" w:color="E2E3E4"/>
            </w:tcBorders>
          </w:tcPr>
          <w:p>
            <w:pPr>
              <w:jc w:val="right"/>
              <w:spacing w:after="0" w:line="168" w:lineRule="exact"/>
              <w:rPr>
                <w:sz w:val="20"/>
                <w:szCs w:val="20"/>
                <w:color w:val="auto"/>
              </w:rPr>
            </w:pPr>
            <w:r>
              <w:rPr>
                <w:rFonts w:ascii="Times New Roman" w:cs="Times New Roman" w:eastAsia="Times New Roman" w:hAnsi="Times New Roman"/>
                <w:sz w:val="15"/>
                <w:szCs w:val="15"/>
                <w:color w:val="231F20"/>
              </w:rPr>
              <w:t>14,076</w:t>
            </w:r>
          </w:p>
        </w:tc>
        <w:tc>
          <w:tcPr>
            <w:tcW w:w="26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40" w:type="dxa"/>
            <w:vAlign w:val="bottom"/>
            <w:tcBorders>
              <w:bottom w:val="single" w:sz="8" w:color="E2E3E4"/>
            </w:tcBorders>
          </w:tcPr>
          <w:p>
            <w:pPr>
              <w:spacing w:after="0"/>
              <w:rPr>
                <w:sz w:val="14"/>
                <w:szCs w:val="14"/>
                <w:color w:val="auto"/>
              </w:rPr>
            </w:pPr>
          </w:p>
        </w:tc>
        <w:tc>
          <w:tcPr>
            <w:tcW w:w="960" w:type="dxa"/>
            <w:vAlign w:val="bottom"/>
            <w:tcBorders>
              <w:bottom w:val="single" w:sz="8" w:color="E2E3E4"/>
            </w:tcBorders>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tcBorders>
              <w:bottom w:val="single" w:sz="8" w:color="E2E3E4"/>
            </w:tcBorders>
          </w:tcPr>
          <w:p>
            <w:pPr>
              <w:spacing w:after="0"/>
              <w:rPr>
                <w:sz w:val="14"/>
                <w:szCs w:val="14"/>
                <w:color w:val="auto"/>
              </w:rPr>
            </w:pPr>
          </w:p>
        </w:tc>
        <w:tc>
          <w:tcPr>
            <w:tcW w:w="110" w:type="dxa"/>
            <w:vAlign w:val="bottom"/>
            <w:tcBorders>
              <w:bottom w:val="single" w:sz="8" w:color="E2E3E4"/>
            </w:tcBorders>
          </w:tcPr>
          <w:p>
            <w:pPr>
              <w:spacing w:after="0"/>
              <w:rPr>
                <w:sz w:val="14"/>
                <w:szCs w:val="14"/>
                <w:color w:val="auto"/>
              </w:rPr>
            </w:pPr>
          </w:p>
        </w:tc>
        <w:tc>
          <w:tcPr>
            <w:tcW w:w="13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40" w:type="dxa"/>
            <w:vAlign w:val="bottom"/>
            <w:tcBorders>
              <w:bottom w:val="single" w:sz="8" w:color="E2E3E4"/>
            </w:tcBorders>
          </w:tcPr>
          <w:p>
            <w:pPr>
              <w:spacing w:after="0"/>
              <w:rPr>
                <w:sz w:val="14"/>
                <w:szCs w:val="14"/>
                <w:color w:val="auto"/>
              </w:rPr>
            </w:pPr>
          </w:p>
        </w:tc>
        <w:tc>
          <w:tcPr>
            <w:tcW w:w="940" w:type="dxa"/>
            <w:vAlign w:val="bottom"/>
            <w:tcBorders>
              <w:bottom w:val="single" w:sz="8" w:color="E2E3E4"/>
            </w:tcBorders>
          </w:tcPr>
          <w:p>
            <w:pPr>
              <w:ind w:left="780"/>
              <w:spacing w:after="0" w:line="168"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tcBorders>
              <w:bottom w:val="single" w:sz="8" w:color="E2E3E4"/>
            </w:tcBorders>
          </w:tcPr>
          <w:p>
            <w:pPr>
              <w:spacing w:after="0"/>
              <w:rPr>
                <w:sz w:val="14"/>
                <w:szCs w:val="14"/>
                <w:color w:val="auto"/>
              </w:rPr>
            </w:pPr>
          </w:p>
        </w:tc>
        <w:tc>
          <w:tcPr>
            <w:tcW w:w="13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40" w:type="dxa"/>
            <w:vAlign w:val="bottom"/>
            <w:tcBorders>
              <w:bottom w:val="single" w:sz="8" w:color="E2E3E4"/>
            </w:tcBorders>
          </w:tcPr>
          <w:p>
            <w:pPr>
              <w:spacing w:after="0"/>
              <w:rPr>
                <w:sz w:val="14"/>
                <w:szCs w:val="14"/>
                <w:color w:val="auto"/>
              </w:rPr>
            </w:pPr>
          </w:p>
        </w:tc>
        <w:tc>
          <w:tcPr>
            <w:tcW w:w="960" w:type="dxa"/>
            <w:vAlign w:val="bottom"/>
            <w:tcBorders>
              <w:bottom w:val="single" w:sz="8" w:color="E2E3E4"/>
            </w:tcBorders>
          </w:tcPr>
          <w:p>
            <w:pPr>
              <w:jc w:val="right"/>
              <w:spacing w:after="0" w:line="168" w:lineRule="exact"/>
              <w:rPr>
                <w:sz w:val="20"/>
                <w:szCs w:val="20"/>
                <w:color w:val="auto"/>
              </w:rPr>
            </w:pPr>
            <w:r>
              <w:rPr>
                <w:rFonts w:ascii="Times New Roman" w:cs="Times New Roman" w:eastAsia="Times New Roman" w:hAnsi="Times New Roman"/>
                <w:sz w:val="15"/>
                <w:szCs w:val="15"/>
                <w:color w:val="231F20"/>
              </w:rPr>
              <w:t>14,076</w:t>
            </w:r>
          </w:p>
        </w:tc>
        <w:tc>
          <w:tcPr>
            <w:tcW w:w="140" w:type="dxa"/>
            <w:vAlign w:val="bottom"/>
            <w:tcBorders>
              <w:bottom w:val="single" w:sz="8" w:color="E2E3E4"/>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720" w:type="dxa"/>
            <w:vAlign w:val="bottom"/>
            <w:shd w:val="clear" w:color="auto" w:fill="E2E3E4"/>
          </w:tcPr>
          <w:p>
            <w:pPr>
              <w:spacing w:after="0" w:line="161" w:lineRule="exact"/>
              <w:rPr>
                <w:sz w:val="20"/>
                <w:szCs w:val="20"/>
                <w:color w:val="auto"/>
              </w:rPr>
            </w:pPr>
            <w:r>
              <w:rPr>
                <w:rFonts w:ascii="Times New Roman" w:cs="Times New Roman" w:eastAsia="Times New Roman" w:hAnsi="Times New Roman"/>
                <w:sz w:val="15"/>
                <w:szCs w:val="15"/>
                <w:color w:val="231F20"/>
              </w:rPr>
              <w:t>Share-based compensation</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13,141</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1"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13,141</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880" w:type="dxa"/>
            <w:vAlign w:val="bottom"/>
            <w:tcBorders>
              <w:bottom w:val="single" w:sz="8" w:color="E2E3E4"/>
            </w:tcBorders>
            <w:gridSpan w:val="3"/>
          </w:tcPr>
          <w:p>
            <w:pPr>
              <w:spacing w:after="0"/>
              <w:rPr>
                <w:sz w:val="20"/>
                <w:szCs w:val="20"/>
                <w:color w:val="auto"/>
              </w:rPr>
            </w:pPr>
            <w:r>
              <w:rPr>
                <w:rFonts w:ascii="Times New Roman" w:cs="Times New Roman" w:eastAsia="Times New Roman" w:hAnsi="Times New Roman"/>
                <w:sz w:val="15"/>
                <w:szCs w:val="15"/>
                <w:color w:val="231F20"/>
              </w:rPr>
              <w:t>Vesting of RSUs</w:t>
            </w:r>
          </w:p>
        </w:tc>
        <w:tc>
          <w:tcPr>
            <w:tcW w:w="120" w:type="dxa"/>
            <w:vAlign w:val="bottom"/>
            <w:tcBorders>
              <w:bottom w:val="single" w:sz="8" w:color="E2E3E4"/>
            </w:tcBorders>
          </w:tcPr>
          <w:p>
            <w:pPr>
              <w:spacing w:after="0"/>
              <w:rPr>
                <w:sz w:val="15"/>
                <w:szCs w:val="15"/>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30" w:type="dxa"/>
            <w:vAlign w:val="bottom"/>
            <w:tcBorders>
              <w:bottom w:val="single" w:sz="8" w:color="E2E3E4"/>
            </w:tcBorders>
          </w:tcPr>
          <w:p>
            <w:pPr>
              <w:spacing w:after="0"/>
              <w:rPr>
                <w:sz w:val="15"/>
                <w:szCs w:val="15"/>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5"/>
                <w:szCs w:val="15"/>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100,326</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20" w:type="dxa"/>
            <w:vAlign w:val="bottom"/>
            <w:tcBorders>
              <w:bottom w:val="single" w:sz="8" w:color="E2E3E4"/>
            </w:tcBorders>
          </w:tcPr>
          <w:p>
            <w:pPr>
              <w:spacing w:after="0"/>
              <w:rPr>
                <w:sz w:val="15"/>
                <w:szCs w:val="15"/>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20" w:type="dxa"/>
            <w:vAlign w:val="bottom"/>
            <w:tcBorders>
              <w:bottom w:val="single" w:sz="8" w:color="E2E3E4"/>
            </w:tcBorders>
          </w:tcPr>
          <w:p>
            <w:pPr>
              <w:spacing w:after="0"/>
              <w:rPr>
                <w:sz w:val="15"/>
                <w:szCs w:val="15"/>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8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100" w:type="dxa"/>
            <w:vAlign w:val="bottom"/>
            <w:tcBorders>
              <w:bottom w:val="single" w:sz="8" w:color="E2E3E4"/>
            </w:tcBorders>
            <w:gridSpan w:val="2"/>
          </w:tcPr>
          <w:p>
            <w:pPr>
              <w:jc w:val="right"/>
              <w:ind w:right="87"/>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720" w:type="dxa"/>
            <w:vAlign w:val="bottom"/>
            <w:shd w:val="clear" w:color="auto" w:fill="E2E3E4"/>
          </w:tcPr>
          <w:p>
            <w:pPr>
              <w:spacing w:after="0" w:line="161" w:lineRule="exact"/>
              <w:rPr>
                <w:sz w:val="20"/>
                <w:szCs w:val="20"/>
                <w:color w:val="auto"/>
              </w:rPr>
            </w:pPr>
            <w:r>
              <w:rPr>
                <w:rFonts w:ascii="Times New Roman" w:cs="Times New Roman" w:eastAsia="Times New Roman" w:hAnsi="Times New Roman"/>
                <w:sz w:val="15"/>
                <w:szCs w:val="15"/>
                <w:color w:val="231F20"/>
              </w:rPr>
              <w:t>Option exercises</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770,636</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2,979</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1"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2,979</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880" w:type="dxa"/>
            <w:vAlign w:val="bottom"/>
            <w:gridSpan w:val="3"/>
          </w:tcPr>
          <w:p>
            <w:pPr>
              <w:spacing w:after="0" w:line="149" w:lineRule="exact"/>
              <w:rPr>
                <w:sz w:val="20"/>
                <w:szCs w:val="20"/>
                <w:color w:val="auto"/>
              </w:rPr>
            </w:pPr>
            <w:r>
              <w:rPr>
                <w:rFonts w:ascii="Times New Roman" w:cs="Times New Roman" w:eastAsia="Times New Roman" w:hAnsi="Times New Roman"/>
                <w:sz w:val="15"/>
                <w:szCs w:val="15"/>
                <w:color w:val="231F20"/>
              </w:rPr>
              <w:t>Issuance of ordinary shares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under the ESPP</w:t>
            </w:r>
          </w:p>
        </w:tc>
        <w:tc>
          <w:tcPr>
            <w:tcW w:w="120" w:type="dxa"/>
            <w:vAlign w:val="bottom"/>
            <w:tcBorders>
              <w:bottom w:val="single" w:sz="8" w:color="E2E3E4"/>
            </w:tcBorders>
          </w:tcPr>
          <w:p>
            <w:pPr>
              <w:spacing w:after="0"/>
              <w:rPr>
                <w:sz w:val="17"/>
                <w:szCs w:val="17"/>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176,498</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659</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659</w:t>
            </w:r>
          </w:p>
        </w:tc>
        <w:tc>
          <w:tcPr>
            <w:tcW w:w="14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720" w:type="dxa"/>
            <w:vAlign w:val="bottom"/>
            <w:shd w:val="clear" w:color="auto" w:fill="E2E3E4"/>
          </w:tcPr>
          <w:p>
            <w:pPr>
              <w:spacing w:after="0" w:line="162" w:lineRule="exact"/>
              <w:rPr>
                <w:sz w:val="20"/>
                <w:szCs w:val="20"/>
                <w:color w:val="auto"/>
              </w:rPr>
            </w:pPr>
            <w:r>
              <w:rPr>
                <w:rFonts w:ascii="Times New Roman" w:cs="Times New Roman" w:eastAsia="Times New Roman" w:hAnsi="Times New Roman"/>
                <w:sz w:val="15"/>
                <w:szCs w:val="15"/>
                <w:color w:val="231F20"/>
              </w:rPr>
              <w:t>Other comprehensive loss</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(138</w:t>
            </w:r>
          </w:p>
        </w:tc>
        <w:tc>
          <w:tcPr>
            <w:tcW w:w="130" w:type="dxa"/>
            <w:vAlign w:val="bottom"/>
            <w:gridSpan w:val="2"/>
            <w:shd w:val="clear" w:color="auto" w:fill="E2E3E4"/>
          </w:tcPr>
          <w:p>
            <w:pPr>
              <w:jc w:val="right"/>
              <w:ind w:right="90"/>
              <w:spacing w:after="0"/>
              <w:rPr>
                <w:sz w:val="20"/>
                <w:szCs w:val="20"/>
                <w:color w:val="auto"/>
              </w:rPr>
            </w:pPr>
            <w:r>
              <w:rPr>
                <w:rFonts w:ascii="Times New Roman" w:cs="Times New Roman" w:eastAsia="Times New Roman" w:hAnsi="Times New Roman"/>
                <w:sz w:val="8"/>
                <w:szCs w:val="8"/>
                <w:color w:val="231F20"/>
                <w:w w:val="73"/>
              </w:rPr>
              <w:t>)</w:t>
            </w: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2"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2" w:lineRule="exact"/>
              <w:rPr>
                <w:sz w:val="20"/>
                <w:szCs w:val="20"/>
                <w:color w:val="auto"/>
              </w:rPr>
            </w:pPr>
            <w:r>
              <w:rPr>
                <w:rFonts w:ascii="Times New Roman" w:cs="Times New Roman" w:eastAsia="Times New Roman" w:hAnsi="Times New Roman"/>
                <w:sz w:val="15"/>
                <w:szCs w:val="15"/>
                <w:color w:val="231F20"/>
              </w:rPr>
              <w:t>(138</w:t>
            </w:r>
          </w:p>
        </w:tc>
        <w:tc>
          <w:tcPr>
            <w:tcW w:w="140" w:type="dxa"/>
            <w:vAlign w:val="bottom"/>
            <w:shd w:val="clear" w:color="auto" w:fill="E2E3E4"/>
          </w:tcPr>
          <w:p>
            <w:pPr>
              <w:jc w:val="right"/>
              <w:ind w:right="7"/>
              <w:spacing w:after="0" w:line="162" w:lineRule="exact"/>
              <w:rPr>
                <w:sz w:val="20"/>
                <w:szCs w:val="20"/>
                <w:color w:val="auto"/>
              </w:rPr>
            </w:pPr>
            <w:r>
              <w:rPr>
                <w:rFonts w:ascii="Times New Roman" w:cs="Times New Roman" w:eastAsia="Times New Roman" w:hAnsi="Times New Roman"/>
                <w:sz w:val="15"/>
                <w:szCs w:val="15"/>
                <w:color w:val="231F20"/>
                <w:w w:val="79"/>
              </w:rPr>
              <w:t>)</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7"/>
                <w:szCs w:val="17"/>
                <w:color w:val="auto"/>
              </w:rPr>
            </w:pPr>
          </w:p>
        </w:tc>
        <w:tc>
          <w:tcPr>
            <w:tcW w:w="272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5"/>
                <w:szCs w:val="15"/>
                <w:color w:val="231F20"/>
              </w:rPr>
              <w:t>Net loss</w:t>
            </w:r>
          </w:p>
        </w:tc>
        <w:tc>
          <w:tcPr>
            <w:tcW w:w="14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231F20"/>
            </w:tcBorders>
          </w:tcPr>
          <w:p>
            <w:pPr>
              <w:spacing w:after="0"/>
              <w:rPr>
                <w:sz w:val="17"/>
                <w:szCs w:val="17"/>
                <w:color w:val="auto"/>
              </w:rPr>
            </w:pPr>
          </w:p>
        </w:tc>
        <w:tc>
          <w:tcPr>
            <w:tcW w:w="91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Borders>
              <w:bottom w:val="single" w:sz="8" w:color="E2E3E4"/>
            </w:tcBorders>
          </w:tcPr>
          <w:p>
            <w:pPr>
              <w:spacing w:after="0"/>
              <w:rPr>
                <w:sz w:val="17"/>
                <w:szCs w:val="17"/>
                <w:color w:val="auto"/>
              </w:rPr>
            </w:pPr>
          </w:p>
        </w:tc>
        <w:tc>
          <w:tcPr>
            <w:tcW w:w="11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(97,008</w:t>
            </w:r>
          </w:p>
        </w:tc>
        <w:tc>
          <w:tcPr>
            <w:tcW w:w="13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(97,008</w:t>
            </w:r>
          </w:p>
        </w:tc>
        <w:tc>
          <w:tcPr>
            <w:tcW w:w="140" w:type="dxa"/>
            <w:vAlign w:val="bottom"/>
            <w:tcBorders>
              <w:bottom w:val="single" w:sz="8" w:color="E2E3E4"/>
            </w:tcBorders>
          </w:tcPr>
          <w:p>
            <w:pPr>
              <w:jc w:val="right"/>
              <w:ind w:right="7"/>
              <w:spacing w:after="0"/>
              <w:rPr>
                <w:sz w:val="20"/>
                <w:szCs w:val="20"/>
                <w:color w:val="auto"/>
              </w:rPr>
            </w:pPr>
            <w:r>
              <w:rPr>
                <w:rFonts w:ascii="Times New Roman" w:cs="Times New Roman" w:eastAsia="Times New Roman" w:hAnsi="Times New Roman"/>
                <w:sz w:val="15"/>
                <w:szCs w:val="15"/>
                <w:color w:val="231F20"/>
                <w:w w:val="79"/>
              </w:rPr>
              <w:t>)</w:t>
            </w: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720" w:type="dxa"/>
            <w:vAlign w:val="bottom"/>
            <w:tcBorders>
              <w:top w:val="single" w:sz="8" w:color="E2E3E4"/>
            </w:tcBorders>
            <w:shd w:val="clear" w:color="auto" w:fill="E2E3E4"/>
          </w:tcPr>
          <w:p>
            <w:pPr>
              <w:spacing w:after="0" w:line="151" w:lineRule="exact"/>
              <w:rPr>
                <w:sz w:val="20"/>
                <w:szCs w:val="20"/>
                <w:color w:val="auto"/>
              </w:rPr>
            </w:pPr>
            <w:r>
              <w:rPr>
                <w:rFonts w:ascii="Times New Roman" w:cs="Times New Roman" w:eastAsia="Times New Roman" w:hAnsi="Times New Roman"/>
                <w:sz w:val="15"/>
                <w:szCs w:val="15"/>
                <w:b w:val="1"/>
                <w:bCs w:val="1"/>
                <w:color w:val="231F20"/>
              </w:rPr>
              <w:t>Balance at December 31, 2024</w:t>
            </w:r>
          </w:p>
        </w:tc>
        <w:tc>
          <w:tcPr>
            <w:tcW w:w="14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E2E3E4"/>
              <w:bottom w:val="single" w:sz="8" w:color="231F20"/>
            </w:tcBorders>
            <w:shd w:val="clear" w:color="auto" w:fill="E2E3E4"/>
          </w:tcPr>
          <w:p>
            <w:pPr>
              <w:spacing w:after="0"/>
              <w:rPr>
                <w:sz w:val="13"/>
                <w:szCs w:val="13"/>
                <w:color w:val="auto"/>
              </w:rPr>
            </w:pPr>
          </w:p>
        </w:tc>
        <w:tc>
          <w:tcPr>
            <w:tcW w:w="102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3,901,348</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30" w:type="dxa"/>
            <w:vAlign w:val="bottom"/>
            <w:tcBorders>
              <w:top w:val="single" w:sz="8" w:color="E2E3E4"/>
              <w:bottom w:val="single" w:sz="8" w:color="231F20"/>
            </w:tcBorders>
            <w:shd w:val="clear" w:color="auto" w:fill="E2E3E4"/>
          </w:tcPr>
          <w:p>
            <w:pPr>
              <w:jc w:val="right"/>
              <w:ind w:right="18"/>
              <w:spacing w:after="0"/>
              <w:rPr>
                <w:sz w:val="20"/>
                <w:szCs w:val="20"/>
                <w:color w:val="auto"/>
              </w:rPr>
            </w:pPr>
            <w:r>
              <w:rPr>
                <w:rFonts w:ascii="Times New Roman" w:cs="Times New Roman" w:eastAsia="Times New Roman" w:hAnsi="Times New Roman"/>
                <w:sz w:val="10"/>
                <w:szCs w:val="10"/>
                <w:color w:val="231F20"/>
                <w:w w:val="79"/>
              </w:rPr>
              <w:t>$</w:t>
            </w:r>
          </w:p>
        </w:tc>
        <w:tc>
          <w:tcPr>
            <w:tcW w:w="91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7,874</w:t>
            </w:r>
          </w:p>
        </w:tc>
        <w:tc>
          <w:tcPr>
            <w:tcW w:w="300" w:type="dxa"/>
            <w:vAlign w:val="bottom"/>
            <w:tcBorders>
              <w:top w:val="single" w:sz="8" w:color="E2E3E4"/>
              <w:right w:val="single" w:sz="8" w:color="231F20"/>
            </w:tcBorders>
            <w:shd w:val="clear" w:color="auto" w:fill="E2E3E4"/>
          </w:tcPr>
          <w:p>
            <w:pPr>
              <w:spacing w:after="0"/>
              <w:rPr>
                <w:sz w:val="13"/>
                <w:szCs w:val="13"/>
                <w:color w:val="auto"/>
              </w:rPr>
            </w:pPr>
          </w:p>
        </w:tc>
        <w:tc>
          <w:tcPr>
            <w:tcW w:w="10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40" w:type="dxa"/>
            <w:vAlign w:val="bottom"/>
            <w:tcBorders>
              <w:top w:val="single" w:sz="8" w:color="E2E3E4"/>
              <w:bottom w:val="single" w:sz="8" w:color="231F20"/>
            </w:tcBorders>
            <w:shd w:val="clear" w:color="auto" w:fill="E2E3E4"/>
          </w:tcPr>
          <w:p>
            <w:pPr>
              <w:spacing w:after="0"/>
              <w:rPr>
                <w:sz w:val="13"/>
                <w:szCs w:val="13"/>
                <w:color w:val="auto"/>
              </w:rPr>
            </w:pPr>
          </w:p>
        </w:tc>
        <w:tc>
          <w:tcPr>
            <w:tcW w:w="108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153,037,286</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6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1,175,181</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2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8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156,454</w:t>
            </w:r>
          </w:p>
        </w:tc>
        <w:tc>
          <w:tcPr>
            <w:tcW w:w="26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80" w:type="dxa"/>
            <w:vAlign w:val="bottom"/>
            <w:tcBorders>
              <w:top w:val="single" w:sz="8" w:color="E2E3E4"/>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E2E3E4"/>
              <w:bottom w:val="single" w:sz="8" w:color="231F20"/>
            </w:tcBorders>
            <w:shd w:val="clear" w:color="auto" w:fill="E2E3E4"/>
          </w:tcPr>
          <w:p>
            <w:pPr>
              <w:spacing w:after="0"/>
              <w:rPr>
                <w:sz w:val="13"/>
                <w:szCs w:val="13"/>
                <w:color w:val="auto"/>
              </w:rPr>
            </w:pPr>
          </w:p>
        </w:tc>
        <w:tc>
          <w:tcPr>
            <w:tcW w:w="96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(262</w:t>
            </w:r>
          </w:p>
        </w:tc>
        <w:tc>
          <w:tcPr>
            <w:tcW w:w="130" w:type="dxa"/>
            <w:vAlign w:val="bottom"/>
            <w:tcBorders>
              <w:top w:val="single" w:sz="8" w:color="E2E3E4"/>
            </w:tcBorders>
            <w:gridSpan w:val="2"/>
            <w:shd w:val="clear" w:color="auto" w:fill="E2E3E4"/>
          </w:tcPr>
          <w:p>
            <w:pPr>
              <w:jc w:val="right"/>
              <w:ind w:right="90"/>
              <w:spacing w:after="0"/>
              <w:rPr>
                <w:sz w:val="20"/>
                <w:szCs w:val="20"/>
                <w:color w:val="auto"/>
              </w:rPr>
            </w:pPr>
            <w:r>
              <w:rPr>
                <w:rFonts w:ascii="Times New Roman" w:cs="Times New Roman" w:eastAsia="Times New Roman" w:hAnsi="Times New Roman"/>
                <w:sz w:val="8"/>
                <w:szCs w:val="8"/>
                <w:color w:val="231F20"/>
                <w:w w:val="73"/>
              </w:rPr>
              <w:t>)</w:t>
            </w:r>
          </w:p>
        </w:tc>
        <w:tc>
          <w:tcPr>
            <w:tcW w:w="13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00" w:type="dxa"/>
            <w:vAlign w:val="bottom"/>
            <w:tcBorders>
              <w:top w:val="single" w:sz="8" w:color="E2E3E4"/>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E2E3E4"/>
              <w:bottom w:val="single" w:sz="8" w:color="231F20"/>
            </w:tcBorders>
            <w:shd w:val="clear" w:color="auto" w:fill="E2E3E4"/>
          </w:tcPr>
          <w:p>
            <w:pPr>
              <w:spacing w:after="0"/>
              <w:rPr>
                <w:sz w:val="13"/>
                <w:szCs w:val="13"/>
                <w:color w:val="auto"/>
              </w:rPr>
            </w:pPr>
          </w:p>
        </w:tc>
        <w:tc>
          <w:tcPr>
            <w:tcW w:w="94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(1,121,858</w:t>
            </w:r>
          </w:p>
        </w:tc>
        <w:tc>
          <w:tcPr>
            <w:tcW w:w="130" w:type="dxa"/>
            <w:vAlign w:val="bottom"/>
            <w:tcBorders>
              <w:top w:val="single" w:sz="8" w:color="E2E3E4"/>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130" w:type="dxa"/>
            <w:vAlign w:val="bottom"/>
            <w:tcBorders>
              <w:top w:val="single" w:sz="8" w:color="E2E3E4"/>
            </w:tcBorders>
            <w:shd w:val="clear" w:color="auto" w:fill="E2E3E4"/>
          </w:tcPr>
          <w:p>
            <w:pPr>
              <w:spacing w:after="0"/>
              <w:rPr>
                <w:sz w:val="13"/>
                <w:szCs w:val="13"/>
                <w:color w:val="auto"/>
              </w:rPr>
            </w:pPr>
          </w:p>
        </w:tc>
        <w:tc>
          <w:tcPr>
            <w:tcW w:w="20" w:type="dxa"/>
            <w:vAlign w:val="bottom"/>
            <w:tcBorders>
              <w:top w:val="single" w:sz="8" w:color="E2E3E4"/>
            </w:tcBorders>
            <w:shd w:val="clear" w:color="auto" w:fill="E2E3E4"/>
          </w:tcPr>
          <w:p>
            <w:pPr>
              <w:spacing w:after="0"/>
              <w:rPr>
                <w:sz w:val="13"/>
                <w:szCs w:val="13"/>
                <w:color w:val="auto"/>
              </w:rPr>
            </w:pPr>
          </w:p>
        </w:tc>
        <w:tc>
          <w:tcPr>
            <w:tcW w:w="10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40" w:type="dxa"/>
            <w:vAlign w:val="bottom"/>
            <w:tcBorders>
              <w:top w:val="single" w:sz="8" w:color="E2E3E4"/>
              <w:bottom w:val="single" w:sz="8" w:color="231F20"/>
            </w:tcBorders>
            <w:shd w:val="clear" w:color="auto" w:fill="E2E3E4"/>
          </w:tcPr>
          <w:p>
            <w:pPr>
              <w:spacing w:after="0"/>
              <w:rPr>
                <w:sz w:val="13"/>
                <w:szCs w:val="13"/>
                <w:color w:val="auto"/>
              </w:rPr>
            </w:pPr>
          </w:p>
        </w:tc>
        <w:tc>
          <w:tcPr>
            <w:tcW w:w="960" w:type="dxa"/>
            <w:vAlign w:val="bottom"/>
            <w:tcBorders>
              <w:top w:val="single" w:sz="8" w:color="E2E3E4"/>
              <w:bottom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209,515</w:t>
            </w:r>
          </w:p>
        </w:tc>
        <w:tc>
          <w:tcPr>
            <w:tcW w:w="140" w:type="dxa"/>
            <w:vAlign w:val="bottom"/>
            <w:tcBorders>
              <w:top w:val="single" w:sz="8" w:color="E2E3E4"/>
            </w:tcBorders>
            <w:shd w:val="clear" w:color="auto" w:fill="E2E3E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231F20"/>
              </w:rPr>
              <w:t>Issuance of ordinary shares,</w:t>
            </w:r>
          </w:p>
        </w:tc>
        <w:tc>
          <w:tcPr>
            <w:tcW w:w="1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231F20"/>
            </w:tcBorders>
          </w:tcPr>
          <w:p>
            <w:pPr>
              <w:spacing w:after="0" w:line="20" w:lineRule="exact"/>
              <w:rPr>
                <w:sz w:val="1"/>
                <w:szCs w:val="1"/>
                <w:color w:val="auto"/>
              </w:rPr>
            </w:pPr>
          </w:p>
        </w:tc>
        <w:tc>
          <w:tcPr>
            <w:tcW w:w="910" w:type="dxa"/>
            <w:vAlign w:val="bottom"/>
            <w:tcBorders>
              <w:bottom w:val="single" w:sz="8" w:color="231F20"/>
            </w:tcBorders>
          </w:tcPr>
          <w:p>
            <w:pPr>
              <w:spacing w:after="0" w:line="20" w:lineRule="exact"/>
              <w:rPr>
                <w:sz w:val="1"/>
                <w:szCs w:val="1"/>
                <w:color w:val="auto"/>
              </w:rPr>
            </w:pPr>
          </w:p>
        </w:tc>
        <w:tc>
          <w:tcPr>
            <w:tcW w:w="300" w:type="dxa"/>
            <w:vAlign w:val="bottom"/>
            <w:tcBorders>
              <w:right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2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910" w:type="dxa"/>
            <w:vAlign w:val="bottom"/>
          </w:tcPr>
          <w:p>
            <w:pPr>
              <w:spacing w:after="0"/>
              <w:rPr>
                <w:sz w:val="11"/>
                <w:szCs w:val="11"/>
                <w:color w:val="auto"/>
              </w:rPr>
            </w:pPr>
          </w:p>
        </w:tc>
        <w:tc>
          <w:tcPr>
            <w:tcW w:w="300" w:type="dxa"/>
            <w:vAlign w:val="bottom"/>
            <w:tcBorders>
              <w:right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net of offering costs</w:t>
            </w:r>
          </w:p>
        </w:tc>
        <w:tc>
          <w:tcPr>
            <w:tcW w:w="120" w:type="dxa"/>
            <w:vAlign w:val="bottom"/>
            <w:tcBorders>
              <w:bottom w:val="single" w:sz="8" w:color="E2E3E4"/>
            </w:tcBorders>
          </w:tcPr>
          <w:p>
            <w:pPr>
              <w:spacing w:after="0"/>
              <w:rPr>
                <w:sz w:val="17"/>
                <w:szCs w:val="17"/>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18,552,632</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330,912</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330,912</w:t>
            </w:r>
          </w:p>
        </w:tc>
        <w:tc>
          <w:tcPr>
            <w:tcW w:w="14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720" w:type="dxa"/>
            <w:vAlign w:val="bottom"/>
            <w:shd w:val="clear" w:color="auto" w:fill="E2E3E4"/>
          </w:tcPr>
          <w:p>
            <w:pPr>
              <w:spacing w:after="0" w:line="164" w:lineRule="exact"/>
              <w:rPr>
                <w:sz w:val="20"/>
                <w:szCs w:val="20"/>
                <w:color w:val="auto"/>
              </w:rPr>
            </w:pPr>
            <w:r>
              <w:rPr>
                <w:rFonts w:ascii="Times New Roman" w:cs="Times New Roman" w:eastAsia="Times New Roman" w:hAnsi="Times New Roman"/>
                <w:sz w:val="15"/>
                <w:szCs w:val="15"/>
                <w:color w:val="231F20"/>
              </w:rPr>
              <w:t>Issuance of ordinary shares pursuant to</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spacing w:after="0"/>
              <w:rPr>
                <w:sz w:val="14"/>
                <w:szCs w:val="14"/>
                <w:color w:val="auto"/>
              </w:rPr>
            </w:pP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spacing w:after="0"/>
              <w:rPr>
                <w:sz w:val="14"/>
                <w:szCs w:val="14"/>
                <w:color w:val="auto"/>
              </w:rPr>
            </w:pP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720" w:type="dxa"/>
            <w:vAlign w:val="bottom"/>
            <w:shd w:val="clear" w:color="auto" w:fill="E2E3E4"/>
          </w:tcPr>
          <w:p>
            <w:pPr>
              <w:ind w:left="100"/>
              <w:spacing w:after="0" w:line="168" w:lineRule="exact"/>
              <w:rPr>
                <w:sz w:val="20"/>
                <w:szCs w:val="20"/>
                <w:color w:val="auto"/>
              </w:rPr>
            </w:pPr>
            <w:r>
              <w:rPr>
                <w:rFonts w:ascii="Times New Roman" w:cs="Times New Roman" w:eastAsia="Times New Roman" w:hAnsi="Times New Roman"/>
                <w:sz w:val="15"/>
                <w:szCs w:val="15"/>
                <w:color w:val="231F20"/>
              </w:rPr>
              <w:t>the at-the-market equity program, net</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12,226,623</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94,636</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8"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8" w:lineRule="exact"/>
              <w:rPr>
                <w:sz w:val="20"/>
                <w:szCs w:val="20"/>
                <w:color w:val="auto"/>
              </w:rPr>
            </w:pPr>
            <w:r>
              <w:rPr>
                <w:rFonts w:ascii="Times New Roman" w:cs="Times New Roman" w:eastAsia="Times New Roman" w:hAnsi="Times New Roman"/>
                <w:sz w:val="15"/>
                <w:szCs w:val="15"/>
                <w:color w:val="231F20"/>
              </w:rPr>
              <w:t>94,636</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880" w:type="dxa"/>
            <w:vAlign w:val="bottom"/>
            <w:gridSpan w:val="3"/>
          </w:tcPr>
          <w:p>
            <w:pPr>
              <w:spacing w:after="0" w:line="149" w:lineRule="exact"/>
              <w:rPr>
                <w:sz w:val="20"/>
                <w:szCs w:val="20"/>
                <w:color w:val="auto"/>
              </w:rPr>
            </w:pPr>
            <w:r>
              <w:rPr>
                <w:rFonts w:ascii="Times New Roman" w:cs="Times New Roman" w:eastAsia="Times New Roman" w:hAnsi="Times New Roman"/>
                <w:sz w:val="15"/>
                <w:szCs w:val="15"/>
                <w:color w:val="231F20"/>
              </w:rPr>
              <w:t>Issuance of pre-funded warrants,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net of offering costs</w:t>
            </w:r>
          </w:p>
        </w:tc>
        <w:tc>
          <w:tcPr>
            <w:tcW w:w="120" w:type="dxa"/>
            <w:vAlign w:val="bottom"/>
            <w:tcBorders>
              <w:bottom w:val="single" w:sz="8" w:color="E2E3E4"/>
            </w:tcBorders>
          </w:tcPr>
          <w:p>
            <w:pPr>
              <w:spacing w:after="0"/>
              <w:rPr>
                <w:sz w:val="16"/>
                <w:szCs w:val="16"/>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6"/>
                <w:szCs w:val="16"/>
                <w:color w:val="auto"/>
              </w:rPr>
            </w:pPr>
          </w:p>
        </w:tc>
        <w:tc>
          <w:tcPr>
            <w:tcW w:w="20" w:type="dxa"/>
            <w:vAlign w:val="bottom"/>
            <w:tcBorders>
              <w:bottom w:val="single" w:sz="8" w:color="E2E3E4"/>
            </w:tcBorders>
          </w:tcPr>
          <w:p>
            <w:pPr>
              <w:spacing w:after="0"/>
              <w:rPr>
                <w:sz w:val="16"/>
                <w:szCs w:val="16"/>
                <w:color w:val="auto"/>
              </w:rPr>
            </w:pPr>
          </w:p>
        </w:tc>
        <w:tc>
          <w:tcPr>
            <w:tcW w:w="130" w:type="dxa"/>
            <w:vAlign w:val="bottom"/>
            <w:tcBorders>
              <w:bottom w:val="single" w:sz="8" w:color="E2E3E4"/>
            </w:tcBorders>
          </w:tcPr>
          <w:p>
            <w:pPr>
              <w:spacing w:after="0"/>
              <w:rPr>
                <w:sz w:val="16"/>
                <w:szCs w:val="16"/>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6"/>
                <w:szCs w:val="16"/>
                <w:color w:val="auto"/>
              </w:rPr>
            </w:pPr>
          </w:p>
        </w:tc>
        <w:tc>
          <w:tcPr>
            <w:tcW w:w="100" w:type="dxa"/>
            <w:vAlign w:val="bottom"/>
            <w:tcBorders>
              <w:bottom w:val="single" w:sz="8" w:color="E2E3E4"/>
            </w:tcBorders>
          </w:tcPr>
          <w:p>
            <w:pPr>
              <w:spacing w:after="0"/>
              <w:rPr>
                <w:sz w:val="16"/>
                <w:szCs w:val="16"/>
                <w:color w:val="auto"/>
              </w:rPr>
            </w:pPr>
          </w:p>
        </w:tc>
        <w:tc>
          <w:tcPr>
            <w:tcW w:w="20" w:type="dxa"/>
            <w:vAlign w:val="bottom"/>
            <w:tcBorders>
              <w:bottom w:val="single" w:sz="8" w:color="E2E3E4"/>
            </w:tcBorders>
          </w:tcPr>
          <w:p>
            <w:pPr>
              <w:spacing w:after="0"/>
              <w:rPr>
                <w:sz w:val="16"/>
                <w:szCs w:val="16"/>
                <w:color w:val="auto"/>
              </w:rPr>
            </w:pPr>
          </w:p>
        </w:tc>
        <w:tc>
          <w:tcPr>
            <w:tcW w:w="140" w:type="dxa"/>
            <w:vAlign w:val="bottom"/>
            <w:tcBorders>
              <w:bottom w:val="single" w:sz="8" w:color="E2E3E4"/>
            </w:tcBorders>
          </w:tcPr>
          <w:p>
            <w:pPr>
              <w:spacing w:after="0"/>
              <w:rPr>
                <w:sz w:val="16"/>
                <w:szCs w:val="16"/>
                <w:color w:val="auto"/>
              </w:rPr>
            </w:pPr>
          </w:p>
        </w:tc>
        <w:tc>
          <w:tcPr>
            <w:tcW w:w="10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6"/>
                <w:szCs w:val="16"/>
                <w:color w:val="auto"/>
              </w:rPr>
            </w:pPr>
          </w:p>
        </w:tc>
        <w:tc>
          <w:tcPr>
            <w:tcW w:w="20" w:type="dxa"/>
            <w:vAlign w:val="bottom"/>
            <w:tcBorders>
              <w:bottom w:val="single" w:sz="8" w:color="E2E3E4"/>
            </w:tcBorders>
          </w:tcPr>
          <w:p>
            <w:pPr>
              <w:spacing w:after="0"/>
              <w:rPr>
                <w:sz w:val="16"/>
                <w:szCs w:val="16"/>
                <w:color w:val="auto"/>
              </w:rPr>
            </w:pPr>
          </w:p>
        </w:tc>
        <w:tc>
          <w:tcPr>
            <w:tcW w:w="120" w:type="dxa"/>
            <w:vAlign w:val="bottom"/>
            <w:tcBorders>
              <w:bottom w:val="single" w:sz="8" w:color="E2E3E4"/>
            </w:tcBorders>
          </w:tcPr>
          <w:p>
            <w:pPr>
              <w:spacing w:after="0"/>
              <w:rPr>
                <w:sz w:val="16"/>
                <w:szCs w:val="16"/>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6"/>
                <w:szCs w:val="16"/>
                <w:color w:val="auto"/>
              </w:rPr>
            </w:pPr>
          </w:p>
        </w:tc>
        <w:tc>
          <w:tcPr>
            <w:tcW w:w="20" w:type="dxa"/>
            <w:vAlign w:val="bottom"/>
            <w:tcBorders>
              <w:bottom w:val="single" w:sz="8" w:color="E2E3E4"/>
            </w:tcBorders>
          </w:tcPr>
          <w:p>
            <w:pPr>
              <w:spacing w:after="0"/>
              <w:rPr>
                <w:sz w:val="16"/>
                <w:szCs w:val="16"/>
                <w:color w:val="auto"/>
              </w:rPr>
            </w:pPr>
          </w:p>
        </w:tc>
        <w:tc>
          <w:tcPr>
            <w:tcW w:w="120" w:type="dxa"/>
            <w:vAlign w:val="bottom"/>
            <w:tcBorders>
              <w:bottom w:val="single" w:sz="8" w:color="E2E3E4"/>
            </w:tcBorders>
          </w:tcPr>
          <w:p>
            <w:pPr>
              <w:spacing w:after="0"/>
              <w:rPr>
                <w:sz w:val="16"/>
                <w:szCs w:val="16"/>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46,938</w:t>
            </w:r>
          </w:p>
        </w:tc>
        <w:tc>
          <w:tcPr>
            <w:tcW w:w="260" w:type="dxa"/>
            <w:vAlign w:val="bottom"/>
            <w:tcBorders>
              <w:bottom w:val="single" w:sz="8" w:color="E2E3E4"/>
            </w:tcBorders>
          </w:tcPr>
          <w:p>
            <w:pPr>
              <w:spacing w:after="0"/>
              <w:rPr>
                <w:sz w:val="16"/>
                <w:szCs w:val="16"/>
                <w:color w:val="auto"/>
              </w:rPr>
            </w:pPr>
          </w:p>
        </w:tc>
        <w:tc>
          <w:tcPr>
            <w:tcW w:w="20" w:type="dxa"/>
            <w:vAlign w:val="bottom"/>
            <w:tcBorders>
              <w:bottom w:val="single" w:sz="8" w:color="E2E3E4"/>
            </w:tcBorders>
          </w:tcPr>
          <w:p>
            <w:pPr>
              <w:spacing w:after="0"/>
              <w:rPr>
                <w:sz w:val="16"/>
                <w:szCs w:val="16"/>
                <w:color w:val="auto"/>
              </w:rPr>
            </w:pPr>
          </w:p>
        </w:tc>
        <w:tc>
          <w:tcPr>
            <w:tcW w:w="80" w:type="dxa"/>
            <w:vAlign w:val="bottom"/>
            <w:tcBorders>
              <w:bottom w:val="single" w:sz="8" w:color="E2E3E4"/>
            </w:tcBorders>
          </w:tcPr>
          <w:p>
            <w:pPr>
              <w:spacing w:after="0"/>
              <w:rPr>
                <w:sz w:val="16"/>
                <w:szCs w:val="16"/>
                <w:color w:val="auto"/>
              </w:rPr>
            </w:pPr>
          </w:p>
        </w:tc>
        <w:tc>
          <w:tcPr>
            <w:tcW w:w="40" w:type="dxa"/>
            <w:vAlign w:val="bottom"/>
            <w:tcBorders>
              <w:bottom w:val="single" w:sz="8" w:color="E2E3E4"/>
            </w:tcBorders>
          </w:tcPr>
          <w:p>
            <w:pPr>
              <w:spacing w:after="0"/>
              <w:rPr>
                <w:sz w:val="16"/>
                <w:szCs w:val="16"/>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6"/>
                <w:szCs w:val="16"/>
                <w:color w:val="auto"/>
              </w:rPr>
            </w:pPr>
          </w:p>
        </w:tc>
        <w:tc>
          <w:tcPr>
            <w:tcW w:w="20" w:type="dxa"/>
            <w:vAlign w:val="bottom"/>
            <w:tcBorders>
              <w:bottom w:val="single" w:sz="8" w:color="E2E3E4"/>
            </w:tcBorders>
          </w:tcPr>
          <w:p>
            <w:pPr>
              <w:spacing w:after="0"/>
              <w:rPr>
                <w:sz w:val="16"/>
                <w:szCs w:val="16"/>
                <w:color w:val="auto"/>
              </w:rPr>
            </w:pPr>
          </w:p>
        </w:tc>
        <w:tc>
          <w:tcPr>
            <w:tcW w:w="100" w:type="dxa"/>
            <w:vAlign w:val="bottom"/>
            <w:tcBorders>
              <w:bottom w:val="single" w:sz="8" w:color="E2E3E4"/>
            </w:tcBorders>
          </w:tcPr>
          <w:p>
            <w:pPr>
              <w:spacing w:after="0"/>
              <w:rPr>
                <w:sz w:val="16"/>
                <w:szCs w:val="16"/>
                <w:color w:val="auto"/>
              </w:rPr>
            </w:pPr>
          </w:p>
        </w:tc>
        <w:tc>
          <w:tcPr>
            <w:tcW w:w="40" w:type="dxa"/>
            <w:vAlign w:val="bottom"/>
            <w:tcBorders>
              <w:bottom w:val="single" w:sz="8" w:color="E2E3E4"/>
            </w:tcBorders>
          </w:tcPr>
          <w:p>
            <w:pPr>
              <w:spacing w:after="0"/>
              <w:rPr>
                <w:sz w:val="16"/>
                <w:szCs w:val="16"/>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6"/>
                <w:szCs w:val="16"/>
                <w:color w:val="auto"/>
              </w:rPr>
            </w:pPr>
          </w:p>
        </w:tc>
        <w:tc>
          <w:tcPr>
            <w:tcW w:w="20" w:type="dxa"/>
            <w:vAlign w:val="bottom"/>
            <w:tcBorders>
              <w:bottom w:val="single" w:sz="8" w:color="E2E3E4"/>
            </w:tcBorders>
          </w:tcPr>
          <w:p>
            <w:pPr>
              <w:spacing w:after="0"/>
              <w:rPr>
                <w:sz w:val="16"/>
                <w:szCs w:val="16"/>
                <w:color w:val="auto"/>
              </w:rPr>
            </w:pPr>
          </w:p>
        </w:tc>
        <w:tc>
          <w:tcPr>
            <w:tcW w:w="100" w:type="dxa"/>
            <w:vAlign w:val="bottom"/>
            <w:tcBorders>
              <w:bottom w:val="single" w:sz="8" w:color="E2E3E4"/>
            </w:tcBorders>
          </w:tcPr>
          <w:p>
            <w:pPr>
              <w:spacing w:after="0"/>
              <w:rPr>
                <w:sz w:val="16"/>
                <w:szCs w:val="16"/>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46,938</w:t>
            </w:r>
          </w:p>
        </w:tc>
        <w:tc>
          <w:tcPr>
            <w:tcW w:w="140" w:type="dxa"/>
            <w:vAlign w:val="bottom"/>
            <w:tcBorders>
              <w:bottom w:val="single" w:sz="8" w:color="E2E3E4"/>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2720" w:type="dxa"/>
            <w:vAlign w:val="bottom"/>
            <w:shd w:val="clear" w:color="auto" w:fill="E2E3E4"/>
          </w:tcPr>
          <w:p>
            <w:pPr>
              <w:spacing w:after="0" w:line="165" w:lineRule="exact"/>
              <w:rPr>
                <w:sz w:val="20"/>
                <w:szCs w:val="20"/>
                <w:color w:val="auto"/>
              </w:rPr>
            </w:pPr>
            <w:r>
              <w:rPr>
                <w:rFonts w:ascii="Times New Roman" w:cs="Times New Roman" w:eastAsia="Times New Roman" w:hAnsi="Times New Roman"/>
                <w:sz w:val="15"/>
                <w:szCs w:val="15"/>
                <w:color w:val="231F20"/>
              </w:rPr>
              <w:t>Share-based compensation</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24,973</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5"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5" w:lineRule="exact"/>
              <w:rPr>
                <w:sz w:val="20"/>
                <w:szCs w:val="20"/>
                <w:color w:val="auto"/>
              </w:rPr>
            </w:pPr>
            <w:r>
              <w:rPr>
                <w:rFonts w:ascii="Times New Roman" w:cs="Times New Roman" w:eastAsia="Times New Roman" w:hAnsi="Times New Roman"/>
                <w:sz w:val="15"/>
                <w:szCs w:val="15"/>
                <w:color w:val="231F20"/>
              </w:rPr>
              <w:t>24,973</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880" w:type="dxa"/>
            <w:vAlign w:val="bottom"/>
            <w:tcBorders>
              <w:bottom w:val="single" w:sz="8" w:color="E2E3E4"/>
            </w:tcBorders>
            <w:gridSpan w:val="3"/>
          </w:tcPr>
          <w:p>
            <w:pPr>
              <w:spacing w:after="0"/>
              <w:rPr>
                <w:sz w:val="20"/>
                <w:szCs w:val="20"/>
                <w:color w:val="auto"/>
              </w:rPr>
            </w:pPr>
            <w:r>
              <w:rPr>
                <w:rFonts w:ascii="Times New Roman" w:cs="Times New Roman" w:eastAsia="Times New Roman" w:hAnsi="Times New Roman"/>
                <w:sz w:val="15"/>
                <w:szCs w:val="15"/>
                <w:color w:val="231F20"/>
              </w:rPr>
              <w:t>Vesting of RSUs</w:t>
            </w:r>
          </w:p>
        </w:tc>
        <w:tc>
          <w:tcPr>
            <w:tcW w:w="120" w:type="dxa"/>
            <w:vAlign w:val="bottom"/>
            <w:tcBorders>
              <w:bottom w:val="single" w:sz="8" w:color="E2E3E4"/>
            </w:tcBorders>
          </w:tcPr>
          <w:p>
            <w:pPr>
              <w:spacing w:after="0"/>
              <w:rPr>
                <w:sz w:val="15"/>
                <w:szCs w:val="15"/>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30" w:type="dxa"/>
            <w:vAlign w:val="bottom"/>
            <w:tcBorders>
              <w:bottom w:val="single" w:sz="8" w:color="E2E3E4"/>
            </w:tcBorders>
          </w:tcPr>
          <w:p>
            <w:pPr>
              <w:spacing w:after="0"/>
              <w:rPr>
                <w:sz w:val="15"/>
                <w:szCs w:val="15"/>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5"/>
                <w:szCs w:val="15"/>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262,218</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20" w:type="dxa"/>
            <w:vAlign w:val="bottom"/>
            <w:tcBorders>
              <w:bottom w:val="single" w:sz="8" w:color="E2E3E4"/>
            </w:tcBorders>
          </w:tcPr>
          <w:p>
            <w:pPr>
              <w:spacing w:after="0"/>
              <w:rPr>
                <w:sz w:val="15"/>
                <w:szCs w:val="15"/>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20" w:type="dxa"/>
            <w:vAlign w:val="bottom"/>
            <w:tcBorders>
              <w:bottom w:val="single" w:sz="8" w:color="E2E3E4"/>
            </w:tcBorders>
          </w:tcPr>
          <w:p>
            <w:pPr>
              <w:spacing w:after="0"/>
              <w:rPr>
                <w:sz w:val="15"/>
                <w:szCs w:val="15"/>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8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40" w:type="dxa"/>
            <w:vAlign w:val="bottom"/>
            <w:tcBorders>
              <w:bottom w:val="single" w:sz="8" w:color="E2E3E4"/>
            </w:tcBorders>
          </w:tcPr>
          <w:p>
            <w:pPr>
              <w:spacing w:after="0"/>
              <w:rPr>
                <w:sz w:val="15"/>
                <w:szCs w:val="15"/>
                <w:color w:val="auto"/>
              </w:rPr>
            </w:pPr>
          </w:p>
        </w:tc>
        <w:tc>
          <w:tcPr>
            <w:tcW w:w="1100" w:type="dxa"/>
            <w:vAlign w:val="bottom"/>
            <w:tcBorders>
              <w:bottom w:val="single" w:sz="8" w:color="E2E3E4"/>
            </w:tcBorders>
            <w:gridSpan w:val="2"/>
          </w:tcPr>
          <w:p>
            <w:pPr>
              <w:jc w:val="right"/>
              <w:ind w:right="87"/>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720" w:type="dxa"/>
            <w:vAlign w:val="bottom"/>
            <w:shd w:val="clear" w:color="auto" w:fill="E2E3E4"/>
          </w:tcPr>
          <w:p>
            <w:pPr>
              <w:spacing w:after="0" w:line="161" w:lineRule="exact"/>
              <w:rPr>
                <w:sz w:val="20"/>
                <w:szCs w:val="20"/>
                <w:color w:val="auto"/>
              </w:rPr>
            </w:pPr>
            <w:r>
              <w:rPr>
                <w:rFonts w:ascii="Times New Roman" w:cs="Times New Roman" w:eastAsia="Times New Roman" w:hAnsi="Times New Roman"/>
                <w:sz w:val="15"/>
                <w:szCs w:val="15"/>
                <w:color w:val="231F20"/>
              </w:rPr>
              <w:t>Option exercises</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3,428,883</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14,868</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1"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1" w:lineRule="exact"/>
              <w:rPr>
                <w:sz w:val="20"/>
                <w:szCs w:val="20"/>
                <w:color w:val="auto"/>
              </w:rPr>
            </w:pPr>
            <w:r>
              <w:rPr>
                <w:rFonts w:ascii="Times New Roman" w:cs="Times New Roman" w:eastAsia="Times New Roman" w:hAnsi="Times New Roman"/>
                <w:sz w:val="15"/>
                <w:szCs w:val="15"/>
                <w:color w:val="231F20"/>
              </w:rPr>
              <w:t>14,868</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88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231F20"/>
              </w:rPr>
              <w:t>Issuance of ordinary shares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2880" w:type="dxa"/>
            <w:vAlign w:val="bottom"/>
            <w:tcBorders>
              <w:bottom w:val="single" w:sz="8" w:color="E2E3E4"/>
            </w:tcBorders>
            <w:gridSpan w:val="3"/>
          </w:tcPr>
          <w:p>
            <w:pPr>
              <w:ind w:left="100"/>
              <w:spacing w:after="0"/>
              <w:rPr>
                <w:sz w:val="20"/>
                <w:szCs w:val="20"/>
                <w:color w:val="auto"/>
              </w:rPr>
            </w:pPr>
            <w:r>
              <w:rPr>
                <w:rFonts w:ascii="Times New Roman" w:cs="Times New Roman" w:eastAsia="Times New Roman" w:hAnsi="Times New Roman"/>
                <w:sz w:val="15"/>
                <w:szCs w:val="15"/>
                <w:color w:val="231F20"/>
              </w:rPr>
              <w:t>under the ESPP</w:t>
            </w:r>
          </w:p>
        </w:tc>
        <w:tc>
          <w:tcPr>
            <w:tcW w:w="120" w:type="dxa"/>
            <w:vAlign w:val="bottom"/>
            <w:tcBorders>
              <w:bottom w:val="single" w:sz="8" w:color="E2E3E4"/>
            </w:tcBorders>
          </w:tcPr>
          <w:p>
            <w:pPr>
              <w:spacing w:after="0"/>
              <w:rPr>
                <w:sz w:val="17"/>
                <w:szCs w:val="17"/>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30" w:type="dxa"/>
            <w:vAlign w:val="bottom"/>
            <w:tcBorders>
              <w:bottom w:val="single" w:sz="8" w:color="E2E3E4"/>
            </w:tcBorders>
          </w:tcPr>
          <w:p>
            <w:pPr>
              <w:spacing w:after="0"/>
              <w:rPr>
                <w:sz w:val="17"/>
                <w:szCs w:val="17"/>
                <w:color w:val="auto"/>
              </w:rPr>
            </w:pPr>
          </w:p>
        </w:tc>
        <w:tc>
          <w:tcPr>
            <w:tcW w:w="91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bottom w:val="single" w:sz="8" w:color="E2E3E4"/>
              <w:right w:val="single" w:sz="8" w:color="231F20"/>
            </w:tcBorders>
          </w:tcPr>
          <w:p>
            <w:pPr>
              <w:spacing w:after="0"/>
              <w:rPr>
                <w:sz w:val="17"/>
                <w:szCs w:val="17"/>
                <w:color w:val="auto"/>
              </w:rPr>
            </w:pPr>
          </w:p>
        </w:tc>
        <w:tc>
          <w:tcPr>
            <w:tcW w:w="134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5"/>
                <w:szCs w:val="15"/>
                <w:color w:val="231F20"/>
              </w:rPr>
              <w:t>152,621</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881</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20" w:type="dxa"/>
            <w:vAlign w:val="bottom"/>
            <w:tcBorders>
              <w:bottom w:val="single" w:sz="8" w:color="E2E3E4"/>
            </w:tcBorders>
          </w:tcPr>
          <w:p>
            <w:pPr>
              <w:spacing w:after="0"/>
              <w:rPr>
                <w:sz w:val="17"/>
                <w:szCs w:val="17"/>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8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90" w:type="dxa"/>
            <w:vAlign w:val="bottom"/>
            <w:tcBorders>
              <w:bottom w:val="single" w:sz="8" w:color="E2E3E4"/>
            </w:tcBorders>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40" w:type="dxa"/>
            <w:vAlign w:val="bottom"/>
            <w:tcBorders>
              <w:bottom w:val="single" w:sz="8" w:color="E2E3E4"/>
            </w:tcBorders>
          </w:tcPr>
          <w:p>
            <w:pPr>
              <w:spacing w:after="0"/>
              <w:rPr>
                <w:sz w:val="17"/>
                <w:szCs w:val="17"/>
                <w:color w:val="auto"/>
              </w:rPr>
            </w:pPr>
          </w:p>
        </w:tc>
        <w:tc>
          <w:tcPr>
            <w:tcW w:w="1070" w:type="dxa"/>
            <w:vAlign w:val="bottom"/>
            <w:tcBorders>
              <w:bottom w:val="single" w:sz="8" w:color="E2E3E4"/>
            </w:tcBorders>
            <w:gridSpan w:val="2"/>
          </w:tcPr>
          <w:p>
            <w:pPr>
              <w:ind w:left="78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E2E3E4"/>
            </w:tcBorders>
          </w:tcPr>
          <w:p>
            <w:pPr>
              <w:spacing w:after="0"/>
              <w:rPr>
                <w:sz w:val="17"/>
                <w:szCs w:val="17"/>
                <w:color w:val="auto"/>
              </w:rPr>
            </w:pPr>
          </w:p>
        </w:tc>
        <w:tc>
          <w:tcPr>
            <w:tcW w:w="10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881</w:t>
            </w:r>
          </w:p>
        </w:tc>
        <w:tc>
          <w:tcPr>
            <w:tcW w:w="140" w:type="dxa"/>
            <w:vAlign w:val="bottom"/>
            <w:tcBorders>
              <w:bottom w:val="single" w:sz="8" w:color="E2E3E4"/>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2720" w:type="dxa"/>
            <w:vAlign w:val="bottom"/>
            <w:shd w:val="clear" w:color="auto" w:fill="E2E3E4"/>
          </w:tcPr>
          <w:p>
            <w:pPr>
              <w:spacing w:after="0" w:line="164" w:lineRule="exact"/>
              <w:rPr>
                <w:sz w:val="20"/>
                <w:szCs w:val="20"/>
                <w:color w:val="auto"/>
              </w:rPr>
            </w:pPr>
            <w:r>
              <w:rPr>
                <w:rFonts w:ascii="Times New Roman" w:cs="Times New Roman" w:eastAsia="Times New Roman" w:hAnsi="Times New Roman"/>
                <w:sz w:val="15"/>
                <w:szCs w:val="15"/>
                <w:color w:val="231F20"/>
              </w:rPr>
              <w:t>Other comprehensive loss</w:t>
            </w:r>
          </w:p>
        </w:tc>
        <w:tc>
          <w:tcPr>
            <w:tcW w:w="14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102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91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40" w:type="dxa"/>
            <w:vAlign w:val="bottom"/>
            <w:shd w:val="clear" w:color="auto" w:fill="E2E3E4"/>
          </w:tcPr>
          <w:p>
            <w:pPr>
              <w:spacing w:after="0"/>
              <w:rPr>
                <w:sz w:val="14"/>
                <w:szCs w:val="14"/>
                <w:color w:val="auto"/>
              </w:rPr>
            </w:pPr>
          </w:p>
        </w:tc>
        <w:tc>
          <w:tcPr>
            <w:tcW w:w="108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20" w:type="dxa"/>
            <w:vAlign w:val="bottom"/>
            <w:shd w:val="clear" w:color="auto" w:fill="E2E3E4"/>
          </w:tcPr>
          <w:p>
            <w:pPr>
              <w:spacing w:after="0"/>
              <w:rPr>
                <w:sz w:val="14"/>
                <w:szCs w:val="14"/>
                <w:color w:val="auto"/>
              </w:rPr>
            </w:pPr>
          </w:p>
        </w:tc>
        <w:tc>
          <w:tcPr>
            <w:tcW w:w="98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8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12</w:t>
            </w:r>
          </w:p>
        </w:tc>
        <w:tc>
          <w:tcPr>
            <w:tcW w:w="20" w:type="dxa"/>
            <w:vAlign w:val="bottom"/>
            <w:shd w:val="clear" w:color="auto" w:fill="E2E3E4"/>
          </w:tcPr>
          <w:p>
            <w:pPr>
              <w:spacing w:after="0"/>
              <w:rPr>
                <w:sz w:val="14"/>
                <w:szCs w:val="14"/>
                <w:color w:val="auto"/>
              </w:rPr>
            </w:pPr>
          </w:p>
        </w:tc>
        <w:tc>
          <w:tcPr>
            <w:tcW w:w="11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40" w:type="dxa"/>
            <w:vAlign w:val="bottom"/>
            <w:shd w:val="clear" w:color="auto" w:fill="E2E3E4"/>
          </w:tcPr>
          <w:p>
            <w:pPr>
              <w:ind w:left="780"/>
              <w:spacing w:after="0" w:line="164" w:lineRule="exact"/>
              <w:rPr>
                <w:sz w:val="20"/>
                <w:szCs w:val="20"/>
                <w:color w:val="auto"/>
              </w:rPr>
            </w:pPr>
            <w:r>
              <w:rPr>
                <w:rFonts w:ascii="Times New Roman" w:cs="Times New Roman" w:eastAsia="Times New Roman" w:hAnsi="Times New Roman"/>
                <w:sz w:val="15"/>
                <w:szCs w:val="15"/>
                <w:color w:val="231F20"/>
                <w:w w:val="93"/>
              </w:rPr>
              <w:t>—</w:t>
            </w:r>
          </w:p>
        </w:tc>
        <w:tc>
          <w:tcPr>
            <w:tcW w:w="130" w:type="dxa"/>
            <w:vAlign w:val="bottom"/>
            <w:shd w:val="clear" w:color="auto" w:fill="E2E3E4"/>
          </w:tcPr>
          <w:p>
            <w:pPr>
              <w:spacing w:after="0"/>
              <w:rPr>
                <w:sz w:val="14"/>
                <w:szCs w:val="14"/>
                <w:color w:val="auto"/>
              </w:rPr>
            </w:pPr>
          </w:p>
        </w:tc>
        <w:tc>
          <w:tcPr>
            <w:tcW w:w="130" w:type="dxa"/>
            <w:vAlign w:val="bottom"/>
            <w:shd w:val="clear" w:color="auto" w:fill="E2E3E4"/>
          </w:tcPr>
          <w:p>
            <w:pPr>
              <w:spacing w:after="0"/>
              <w:rPr>
                <w:sz w:val="14"/>
                <w:szCs w:val="14"/>
                <w:color w:val="auto"/>
              </w:rPr>
            </w:pPr>
          </w:p>
        </w:tc>
        <w:tc>
          <w:tcPr>
            <w:tcW w:w="20" w:type="dxa"/>
            <w:vAlign w:val="bottom"/>
            <w:shd w:val="clear" w:color="auto" w:fill="E2E3E4"/>
          </w:tcPr>
          <w:p>
            <w:pPr>
              <w:spacing w:after="0"/>
              <w:rPr>
                <w:sz w:val="14"/>
                <w:szCs w:val="14"/>
                <w:color w:val="auto"/>
              </w:rPr>
            </w:pPr>
          </w:p>
        </w:tc>
        <w:tc>
          <w:tcPr>
            <w:tcW w:w="100" w:type="dxa"/>
            <w:vAlign w:val="bottom"/>
            <w:shd w:val="clear" w:color="auto" w:fill="E2E3E4"/>
          </w:tcPr>
          <w:p>
            <w:pPr>
              <w:spacing w:after="0"/>
              <w:rPr>
                <w:sz w:val="14"/>
                <w:szCs w:val="14"/>
                <w:color w:val="auto"/>
              </w:rPr>
            </w:pPr>
          </w:p>
        </w:tc>
        <w:tc>
          <w:tcPr>
            <w:tcW w:w="40" w:type="dxa"/>
            <w:vAlign w:val="bottom"/>
            <w:shd w:val="clear" w:color="auto" w:fill="E2E3E4"/>
          </w:tcPr>
          <w:p>
            <w:pPr>
              <w:spacing w:after="0"/>
              <w:rPr>
                <w:sz w:val="14"/>
                <w:szCs w:val="14"/>
                <w:color w:val="auto"/>
              </w:rPr>
            </w:pPr>
          </w:p>
        </w:tc>
        <w:tc>
          <w:tcPr>
            <w:tcW w:w="960" w:type="dxa"/>
            <w:vAlign w:val="bottom"/>
            <w:shd w:val="clear" w:color="auto" w:fill="E2E3E4"/>
          </w:tcPr>
          <w:p>
            <w:pPr>
              <w:jc w:val="right"/>
              <w:spacing w:after="0" w:line="164" w:lineRule="exact"/>
              <w:rPr>
                <w:sz w:val="20"/>
                <w:szCs w:val="20"/>
                <w:color w:val="auto"/>
              </w:rPr>
            </w:pPr>
            <w:r>
              <w:rPr>
                <w:rFonts w:ascii="Times New Roman" w:cs="Times New Roman" w:eastAsia="Times New Roman" w:hAnsi="Times New Roman"/>
                <w:sz w:val="15"/>
                <w:szCs w:val="15"/>
                <w:color w:val="231F20"/>
              </w:rPr>
              <w:t>12</w:t>
            </w:r>
          </w:p>
        </w:tc>
        <w:tc>
          <w:tcPr>
            <w:tcW w:w="140" w:type="dxa"/>
            <w:vAlign w:val="bottom"/>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Net loss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91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right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90" w:type="dxa"/>
            <w:vAlign w:val="bottom"/>
            <w:gridSpan w:val="3"/>
          </w:tcPr>
          <w:p>
            <w:pPr>
              <w:jc w:val="right"/>
              <w:ind w:right="150"/>
              <w:spacing w:after="0"/>
              <w:rPr>
                <w:sz w:val="20"/>
                <w:szCs w:val="20"/>
                <w:color w:val="auto"/>
              </w:rPr>
            </w:pPr>
            <w:r>
              <w:rPr>
                <w:rFonts w:ascii="Times New Roman" w:cs="Times New Roman" w:eastAsia="Times New Roman" w:hAnsi="Times New Roman"/>
                <w:sz w:val="15"/>
                <w:szCs w:val="15"/>
                <w:color w:val="231F20"/>
              </w:rPr>
              <w:t>—</w:t>
            </w: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1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(204,378 )</w:t>
            </w: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231F20"/>
              </w:rPr>
              <w:t>(204,378 )</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720" w:type="dxa"/>
            <w:vAlign w:val="bottom"/>
            <w:tcBorders>
              <w:top w:val="single" w:sz="8" w:color="E2E3E4"/>
            </w:tcBorders>
            <w:shd w:val="clear" w:color="auto" w:fill="E2E3E4"/>
          </w:tcPr>
          <w:p>
            <w:pPr>
              <w:spacing w:after="0" w:line="151" w:lineRule="exact"/>
              <w:rPr>
                <w:sz w:val="20"/>
                <w:szCs w:val="20"/>
                <w:color w:val="auto"/>
              </w:rPr>
            </w:pPr>
            <w:r>
              <w:rPr>
                <w:rFonts w:ascii="Times New Roman" w:cs="Times New Roman" w:eastAsia="Times New Roman" w:hAnsi="Times New Roman"/>
                <w:sz w:val="15"/>
                <w:szCs w:val="15"/>
                <w:b w:val="1"/>
                <w:bCs w:val="1"/>
                <w:color w:val="231F20"/>
              </w:rPr>
              <w:t>Balance at December 31, 2025</w:t>
            </w:r>
          </w:p>
        </w:tc>
        <w:tc>
          <w:tcPr>
            <w:tcW w:w="14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120" w:type="dxa"/>
            <w:vAlign w:val="bottom"/>
            <w:tcBorders>
              <w:top w:val="single" w:sz="8" w:color="231F20"/>
            </w:tcBorders>
            <w:shd w:val="clear" w:color="auto" w:fill="E2E3E4"/>
          </w:tcPr>
          <w:p>
            <w:pPr>
              <w:spacing w:after="0"/>
              <w:rPr>
                <w:sz w:val="14"/>
                <w:szCs w:val="14"/>
                <w:color w:val="auto"/>
              </w:rPr>
            </w:pPr>
          </w:p>
        </w:tc>
        <w:tc>
          <w:tcPr>
            <w:tcW w:w="102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3,901,348</w:t>
            </w:r>
          </w:p>
        </w:tc>
        <w:tc>
          <w:tcPr>
            <w:tcW w:w="26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130" w:type="dxa"/>
            <w:vAlign w:val="bottom"/>
            <w:tcBorders>
              <w:top w:val="single" w:sz="8" w:color="231F20"/>
            </w:tcBorders>
            <w:shd w:val="clear" w:color="auto" w:fill="E2E3E4"/>
          </w:tcPr>
          <w:p>
            <w:pPr>
              <w:jc w:val="right"/>
              <w:ind w:right="18"/>
              <w:spacing w:after="0"/>
              <w:rPr>
                <w:sz w:val="20"/>
                <w:szCs w:val="20"/>
                <w:color w:val="auto"/>
              </w:rPr>
            </w:pPr>
            <w:r>
              <w:rPr>
                <w:rFonts w:ascii="Times New Roman" w:cs="Times New Roman" w:eastAsia="Times New Roman" w:hAnsi="Times New Roman"/>
                <w:sz w:val="10"/>
                <w:szCs w:val="10"/>
                <w:color w:val="231F20"/>
                <w:w w:val="79"/>
              </w:rPr>
              <w:t>$</w:t>
            </w:r>
          </w:p>
        </w:tc>
        <w:tc>
          <w:tcPr>
            <w:tcW w:w="91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7,874</w:t>
            </w:r>
          </w:p>
        </w:tc>
        <w:tc>
          <w:tcPr>
            <w:tcW w:w="300" w:type="dxa"/>
            <w:vAlign w:val="bottom"/>
            <w:tcBorders>
              <w:top w:val="single" w:sz="8" w:color="E2E3E4"/>
              <w:right w:val="single" w:sz="8" w:color="231F20"/>
            </w:tcBorders>
            <w:shd w:val="clear" w:color="auto" w:fill="E2E3E4"/>
          </w:tcPr>
          <w:p>
            <w:pPr>
              <w:spacing w:after="0"/>
              <w:rPr>
                <w:sz w:val="14"/>
                <w:szCs w:val="14"/>
                <w:color w:val="auto"/>
              </w:rPr>
            </w:pPr>
          </w:p>
        </w:tc>
        <w:tc>
          <w:tcPr>
            <w:tcW w:w="10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140" w:type="dxa"/>
            <w:vAlign w:val="bottom"/>
            <w:tcBorders>
              <w:top w:val="single" w:sz="8" w:color="231F20"/>
            </w:tcBorders>
            <w:shd w:val="clear" w:color="auto" w:fill="E2E3E4"/>
          </w:tcPr>
          <w:p>
            <w:pPr>
              <w:spacing w:after="0"/>
              <w:rPr>
                <w:sz w:val="14"/>
                <w:szCs w:val="14"/>
                <w:color w:val="auto"/>
              </w:rPr>
            </w:pPr>
          </w:p>
        </w:tc>
        <w:tc>
          <w:tcPr>
            <w:tcW w:w="108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187,660,263</w:t>
            </w:r>
          </w:p>
        </w:tc>
        <w:tc>
          <w:tcPr>
            <w:tcW w:w="26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12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6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1,616,478</w:t>
            </w:r>
          </w:p>
        </w:tc>
        <w:tc>
          <w:tcPr>
            <w:tcW w:w="26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12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98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228,365</w:t>
            </w:r>
          </w:p>
        </w:tc>
        <w:tc>
          <w:tcPr>
            <w:tcW w:w="26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8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231F20"/>
            </w:tcBorders>
            <w:shd w:val="clear" w:color="auto" w:fill="E2E3E4"/>
          </w:tcPr>
          <w:p>
            <w:pPr>
              <w:spacing w:after="0"/>
              <w:rPr>
                <w:sz w:val="14"/>
                <w:szCs w:val="14"/>
                <w:color w:val="auto"/>
              </w:rPr>
            </w:pPr>
          </w:p>
        </w:tc>
        <w:tc>
          <w:tcPr>
            <w:tcW w:w="96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(250</w:t>
            </w:r>
          </w:p>
        </w:tc>
        <w:tc>
          <w:tcPr>
            <w:tcW w:w="130" w:type="dxa"/>
            <w:vAlign w:val="bottom"/>
            <w:tcBorders>
              <w:top w:val="single" w:sz="8" w:color="E2E3E4"/>
            </w:tcBorders>
            <w:gridSpan w:val="2"/>
            <w:shd w:val="clear" w:color="auto" w:fill="E2E3E4"/>
          </w:tcPr>
          <w:p>
            <w:pPr>
              <w:jc w:val="right"/>
              <w:ind w:right="90"/>
              <w:spacing w:after="0"/>
              <w:rPr>
                <w:sz w:val="20"/>
                <w:szCs w:val="20"/>
                <w:color w:val="auto"/>
              </w:rPr>
            </w:pPr>
            <w:r>
              <w:rPr>
                <w:rFonts w:ascii="Times New Roman" w:cs="Times New Roman" w:eastAsia="Times New Roman" w:hAnsi="Times New Roman"/>
                <w:sz w:val="8"/>
                <w:szCs w:val="8"/>
                <w:color w:val="231F20"/>
                <w:w w:val="73"/>
              </w:rPr>
              <w:t>)</w:t>
            </w:r>
          </w:p>
        </w:tc>
        <w:tc>
          <w:tcPr>
            <w:tcW w:w="13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10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0"/>
                <w:szCs w:val="10"/>
                <w:color w:val="231F20"/>
                <w:w w:val="79"/>
              </w:rPr>
              <w:t>$</w:t>
            </w:r>
          </w:p>
        </w:tc>
        <w:tc>
          <w:tcPr>
            <w:tcW w:w="40" w:type="dxa"/>
            <w:vAlign w:val="bottom"/>
            <w:tcBorders>
              <w:top w:val="single" w:sz="8" w:color="231F20"/>
            </w:tcBorders>
            <w:shd w:val="clear" w:color="auto" w:fill="E2E3E4"/>
          </w:tcPr>
          <w:p>
            <w:pPr>
              <w:spacing w:after="0"/>
              <w:rPr>
                <w:sz w:val="14"/>
                <w:szCs w:val="14"/>
                <w:color w:val="auto"/>
              </w:rPr>
            </w:pPr>
          </w:p>
        </w:tc>
        <w:tc>
          <w:tcPr>
            <w:tcW w:w="94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(1,326,236</w:t>
            </w:r>
          </w:p>
        </w:tc>
        <w:tc>
          <w:tcPr>
            <w:tcW w:w="130" w:type="dxa"/>
            <w:vAlign w:val="bottom"/>
            <w:tcBorders>
              <w:top w:val="single" w:sz="8" w:color="E2E3E4"/>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130" w:type="dxa"/>
            <w:vAlign w:val="bottom"/>
            <w:tcBorders>
              <w:top w:val="single" w:sz="8" w:color="E2E3E4"/>
            </w:tcBorders>
            <w:shd w:val="clear" w:color="auto" w:fill="E2E3E4"/>
          </w:tcPr>
          <w:p>
            <w:pPr>
              <w:spacing w:after="0"/>
              <w:rPr>
                <w:sz w:val="14"/>
                <w:szCs w:val="14"/>
                <w:color w:val="auto"/>
              </w:rPr>
            </w:pPr>
          </w:p>
        </w:tc>
        <w:tc>
          <w:tcPr>
            <w:tcW w:w="20" w:type="dxa"/>
            <w:vAlign w:val="bottom"/>
            <w:tcBorders>
              <w:top w:val="single" w:sz="8" w:color="E2E3E4"/>
            </w:tcBorders>
            <w:shd w:val="clear" w:color="auto" w:fill="E2E3E4"/>
          </w:tcPr>
          <w:p>
            <w:pPr>
              <w:spacing w:after="0"/>
              <w:rPr>
                <w:sz w:val="14"/>
                <w:szCs w:val="14"/>
                <w:color w:val="auto"/>
              </w:rPr>
            </w:pPr>
          </w:p>
        </w:tc>
        <w:tc>
          <w:tcPr>
            <w:tcW w:w="10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w w:val="79"/>
              </w:rPr>
              <w:t>$</w:t>
            </w:r>
          </w:p>
        </w:tc>
        <w:tc>
          <w:tcPr>
            <w:tcW w:w="40" w:type="dxa"/>
            <w:vAlign w:val="bottom"/>
            <w:tcBorders>
              <w:top w:val="single" w:sz="8" w:color="231F20"/>
            </w:tcBorders>
            <w:shd w:val="clear" w:color="auto" w:fill="E2E3E4"/>
          </w:tcPr>
          <w:p>
            <w:pPr>
              <w:spacing w:after="0"/>
              <w:rPr>
                <w:sz w:val="14"/>
                <w:szCs w:val="14"/>
                <w:color w:val="auto"/>
              </w:rPr>
            </w:pPr>
          </w:p>
        </w:tc>
        <w:tc>
          <w:tcPr>
            <w:tcW w:w="960" w:type="dxa"/>
            <w:vAlign w:val="bottom"/>
            <w:tcBorders>
              <w:top w:val="single" w:sz="8" w:color="231F20"/>
            </w:tcBorders>
            <w:shd w:val="clear" w:color="auto" w:fill="E2E3E4"/>
          </w:tcPr>
          <w:p>
            <w:pPr>
              <w:jc w:val="right"/>
              <w:spacing w:after="0" w:line="151" w:lineRule="exact"/>
              <w:rPr>
                <w:sz w:val="20"/>
                <w:szCs w:val="20"/>
                <w:color w:val="auto"/>
              </w:rPr>
            </w:pPr>
            <w:r>
              <w:rPr>
                <w:rFonts w:ascii="Times New Roman" w:cs="Times New Roman" w:eastAsia="Times New Roman" w:hAnsi="Times New Roman"/>
                <w:sz w:val="15"/>
                <w:szCs w:val="15"/>
                <w:color w:val="231F20"/>
              </w:rPr>
              <w:t>518,357</w:t>
            </w:r>
          </w:p>
        </w:tc>
        <w:tc>
          <w:tcPr>
            <w:tcW w:w="140" w:type="dxa"/>
            <w:vAlign w:val="bottom"/>
            <w:tcBorders>
              <w:top w:val="single" w:sz="8" w:color="E2E3E4"/>
            </w:tcBorders>
            <w:shd w:val="clear" w:color="auto" w:fill="E2E3E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20" w:type="dxa"/>
            <w:vAlign w:val="bottom"/>
            <w:tcBorders>
              <w:top w:val="single" w:sz="8" w:color="E2E3E4"/>
            </w:tcBorders>
          </w:tcPr>
          <w:p>
            <w:pPr>
              <w:spacing w:after="0" w:line="20" w:lineRule="exact"/>
              <w:rPr>
                <w:sz w:val="1"/>
                <w:szCs w:val="1"/>
                <w:color w:val="auto"/>
              </w:rPr>
            </w:pPr>
          </w:p>
        </w:tc>
        <w:tc>
          <w:tcPr>
            <w:tcW w:w="14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30" w:type="dxa"/>
            <w:vAlign w:val="bottom"/>
            <w:tcBorders>
              <w:top w:val="single" w:sz="8" w:color="231F20"/>
              <w:bottom w:val="single" w:sz="8" w:color="231F20"/>
            </w:tcBorders>
          </w:tcPr>
          <w:p>
            <w:pPr>
              <w:spacing w:after="0" w:line="20" w:lineRule="exact"/>
              <w:rPr>
                <w:sz w:val="1"/>
                <w:szCs w:val="1"/>
                <w:color w:val="auto"/>
              </w:rPr>
            </w:pPr>
          </w:p>
        </w:tc>
        <w:tc>
          <w:tcPr>
            <w:tcW w:w="91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E2E3E4"/>
            </w:tcBorders>
          </w:tcPr>
          <w:p>
            <w:pPr>
              <w:spacing w:after="0" w:line="20" w:lineRule="exact"/>
              <w:rPr>
                <w:sz w:val="1"/>
                <w:szCs w:val="1"/>
                <w:color w:val="auto"/>
              </w:rPr>
            </w:pPr>
          </w:p>
        </w:tc>
        <w:tc>
          <w:tcPr>
            <w:tcW w:w="10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 w:type="dxa"/>
            <w:vAlign w:val="bottom"/>
            <w:tcBorders>
              <w:top w:val="single" w:sz="8" w:color="E2E3E4"/>
            </w:tcBorders>
          </w:tcPr>
          <w:p>
            <w:pPr>
              <w:spacing w:after="0" w:line="20" w:lineRule="exact"/>
              <w:rPr>
                <w:sz w:val="1"/>
                <w:szCs w:val="1"/>
                <w:color w:val="auto"/>
              </w:rPr>
            </w:pPr>
          </w:p>
        </w:tc>
        <w:tc>
          <w:tcPr>
            <w:tcW w:w="13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30" w:type="dxa"/>
            <w:vAlign w:val="bottom"/>
            <w:tcBorders>
              <w:top w:val="single" w:sz="8" w:color="E2E3E4"/>
            </w:tcBorders>
          </w:tcPr>
          <w:p>
            <w:pPr>
              <w:spacing w:after="0" w:line="20" w:lineRule="exact"/>
              <w:rPr>
                <w:sz w:val="1"/>
                <w:szCs w:val="1"/>
                <w:color w:val="auto"/>
              </w:rPr>
            </w:pPr>
          </w:p>
        </w:tc>
        <w:tc>
          <w:tcPr>
            <w:tcW w:w="130" w:type="dxa"/>
            <w:vAlign w:val="bottom"/>
            <w:tcBorders>
              <w:top w:val="single" w:sz="8" w:color="E2E3E4"/>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E2E3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5476240</wp:posOffset>
                </wp:positionH>
                <wp:positionV relativeFrom="paragraph">
                  <wp:posOffset>-5189855</wp:posOffset>
                </wp:positionV>
                <wp:extent cx="356679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679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2pt,-408.6499pt" to="712.05pt,-408.64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1998980</wp:posOffset>
                </wp:positionH>
                <wp:positionV relativeFrom="paragraph">
                  <wp:posOffset>-4818380</wp:posOffset>
                </wp:positionV>
                <wp:extent cx="72580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4pt,-379.3999pt" to="214.55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2902585</wp:posOffset>
                </wp:positionH>
                <wp:positionV relativeFrom="paragraph">
                  <wp:posOffset>-4818380</wp:posOffset>
                </wp:positionV>
                <wp:extent cx="66484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5pt,-379.3999pt" to="280.9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3833495</wp:posOffset>
                </wp:positionH>
                <wp:positionV relativeFrom="paragraph">
                  <wp:posOffset>-4818380</wp:posOffset>
                </wp:positionV>
                <wp:extent cx="7747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85pt,-379.3999pt" to="362.85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4785360</wp:posOffset>
                </wp:positionH>
                <wp:positionV relativeFrom="paragraph">
                  <wp:posOffset>-4818380</wp:posOffset>
                </wp:positionV>
                <wp:extent cx="69088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8pt,-379.3999pt" to="431.2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5653405</wp:posOffset>
                </wp:positionH>
                <wp:positionV relativeFrom="paragraph">
                  <wp:posOffset>-4818380</wp:posOffset>
                </wp:positionV>
                <wp:extent cx="69024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24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15pt,-379.3999pt" to="499.5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-4818380</wp:posOffset>
                </wp:positionV>
                <wp:extent cx="68834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340"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379.3999pt" to="567.7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7387590</wp:posOffset>
                </wp:positionH>
                <wp:positionV relativeFrom="paragraph">
                  <wp:posOffset>-4818380</wp:posOffset>
                </wp:positionV>
                <wp:extent cx="69024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24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1.7pt,-379.3999pt" to="636.05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8255000</wp:posOffset>
                </wp:positionH>
                <wp:positionV relativeFrom="paragraph">
                  <wp:posOffset>-4818380</wp:posOffset>
                </wp:positionV>
                <wp:extent cx="69913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13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0pt,-379.3999pt" to="705.05pt,-379.3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173355</wp:posOffset>
                </wp:positionH>
                <wp:positionV relativeFrom="paragraph">
                  <wp:posOffset>-2767330</wp:posOffset>
                </wp:positionV>
                <wp:extent cx="35687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870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5pt,-217.8999pt" to="294.65pt,-217.8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3747770</wp:posOffset>
                </wp:positionH>
                <wp:positionV relativeFrom="paragraph">
                  <wp:posOffset>-2767330</wp:posOffset>
                </wp:positionV>
                <wp:extent cx="529526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526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1pt,-217.8999pt" to="712.05pt,-217.8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173355</wp:posOffset>
                </wp:positionH>
                <wp:positionV relativeFrom="paragraph">
                  <wp:posOffset>-1864995</wp:posOffset>
                </wp:positionV>
                <wp:extent cx="35687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870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5pt,-146.8499pt" to="294.65pt,-146.8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3747770</wp:posOffset>
                </wp:positionH>
                <wp:positionV relativeFrom="paragraph">
                  <wp:posOffset>-1864995</wp:posOffset>
                </wp:positionV>
                <wp:extent cx="529526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526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1pt,-146.8499pt" to="712.05pt,-146.8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1998980</wp:posOffset>
                </wp:positionH>
                <wp:positionV relativeFrom="paragraph">
                  <wp:posOffset>-1602740</wp:posOffset>
                </wp:positionV>
                <wp:extent cx="72580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4pt,-126.1999pt" to="214.55pt,-126.1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2902585</wp:posOffset>
                </wp:positionH>
                <wp:positionV relativeFrom="paragraph">
                  <wp:posOffset>-1602740</wp:posOffset>
                </wp:positionV>
                <wp:extent cx="66484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5pt,-126.1999pt" to="280.9pt,-126.1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3833495</wp:posOffset>
                </wp:positionH>
                <wp:positionV relativeFrom="paragraph">
                  <wp:posOffset>-1602740</wp:posOffset>
                </wp:positionV>
                <wp:extent cx="7747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85pt,-126.1999pt" to="362.85pt,-126.1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4785360</wp:posOffset>
                </wp:positionH>
                <wp:positionV relativeFrom="paragraph">
                  <wp:posOffset>-1602740</wp:posOffset>
                </wp:positionV>
                <wp:extent cx="69088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8pt,-126.1999pt" to="431.2pt,-126.1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5653405</wp:posOffset>
                </wp:positionH>
                <wp:positionV relativeFrom="paragraph">
                  <wp:posOffset>-1602740</wp:posOffset>
                </wp:positionV>
                <wp:extent cx="69024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24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15pt,-126.1999pt" to="499.5pt,-126.1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-1602740</wp:posOffset>
                </wp:positionV>
                <wp:extent cx="68834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340"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126.1999pt" to="567.7pt,-126.1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7387590</wp:posOffset>
                </wp:positionH>
                <wp:positionV relativeFrom="paragraph">
                  <wp:posOffset>-1602740</wp:posOffset>
                </wp:positionV>
                <wp:extent cx="69024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24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1.7pt,-126.1999pt" to="636.05pt,-126.1999pt" o:allowincell="f" strokecolor="#FFFFFF" strokeweight="0.816pt"/>
            </w:pict>
          </mc:Fallback>
        </mc:AlternateContent>
        <mc:AlternateContent>
          <mc:Choice Requires="wps">
            <w:drawing>
              <wp:anchor simplePos="0" relativeHeight="251657728" behindDoc="1" locked="0" layoutInCell="0" allowOverlap="1">
                <wp:simplePos x="0" y="0"/>
                <wp:positionH relativeFrom="column">
                  <wp:posOffset>8255000</wp:posOffset>
                </wp:positionH>
                <wp:positionV relativeFrom="paragraph">
                  <wp:posOffset>-1602740</wp:posOffset>
                </wp:positionV>
                <wp:extent cx="69913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135" cy="4763"/>
                        </a:xfrm>
                        <a:prstGeom prst="line">
                          <a:avLst/>
                        </a:prstGeom>
                        <a:solidFill>
                          <a:srgbClr val="FFFFFF"/>
                        </a:solidFill>
                        <a:ln w="10363">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0pt,-126.1999pt" to="705.05pt,-126.1999pt" o:allowincell="f" strokecolor="#FFFFFF" strokeweight="0.816pt"/>
            </w:pict>
          </mc:Fallback>
        </mc:AlternateContent>
      </w:r>
    </w:p>
    <w:p>
      <w:pPr>
        <w:sectPr>
          <w:pgSz w:w="15480" w:h="11880" w:orient="landscape"/>
          <w:cols w:equalWidth="0" w:num="1">
            <w:col w:w="14240"/>
          </w:cols>
          <w:pgMar w:left="480" w:top="870" w:right="760" w:bottom="690" w:gutter="0" w:footer="0" w:header="0"/>
        </w:sectPr>
      </w:pPr>
    </w:p>
    <w:p>
      <w:pPr>
        <w:jc w:val="center"/>
        <w:ind w:right="-279"/>
        <w:spacing w:after="0"/>
        <w:rPr>
          <w:sz w:val="20"/>
          <w:szCs w:val="20"/>
          <w:color w:val="auto"/>
        </w:rPr>
      </w:pPr>
      <w:r>
        <w:rPr>
          <w:rFonts w:ascii="Times New Roman" w:cs="Times New Roman" w:eastAsia="Times New Roman" w:hAnsi="Times New Roman"/>
          <w:sz w:val="19"/>
          <w:szCs w:val="19"/>
          <w:i w:val="1"/>
          <w:iCs w:val="1"/>
          <w:color w:val="231F20"/>
        </w:rPr>
        <w:t>The accompanying notes are an integral part of the consolidated financial statements.</w:t>
      </w:r>
    </w:p>
    <w:p>
      <w:pPr>
        <w:sectPr>
          <w:pgSz w:w="15480" w:h="11880" w:orient="landscape"/>
          <w:cols w:equalWidth="0" w:num="1">
            <w:col w:w="14240"/>
          </w:cols>
          <w:pgMar w:left="480" w:top="870" w:right="760" w:bottom="69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9"/>
          <w:szCs w:val="19"/>
          <w:b w:val="1"/>
          <w:bCs w:val="1"/>
          <w:color w:val="231F20"/>
        </w:rPr>
        <w:t>WAVE LIFE SCIENCES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7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3640" w:type="dxa"/>
            <w:vAlign w:val="bottom"/>
            <w:tcBorders>
              <w:bottom w:val="single" w:sz="8" w:color="231F20"/>
            </w:tcBorders>
            <w:gridSpan w:val="8"/>
          </w:tcPr>
          <w:p>
            <w:pPr>
              <w:jc w:val="right"/>
              <w:ind w:right="113"/>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110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5370" w:type="dxa"/>
            <w:vAlign w:val="bottom"/>
            <w:tcBorders>
              <w:bottom w:val="single" w:sz="8" w:color="E2E3E4"/>
            </w:tcBorders>
          </w:tcPr>
          <w:p>
            <w:pPr>
              <w:spacing w:after="0"/>
              <w:rPr>
                <w:sz w:val="15"/>
                <w:szCs w:val="15"/>
                <w:color w:val="auto"/>
              </w:rPr>
            </w:pPr>
          </w:p>
        </w:tc>
        <w:tc>
          <w:tcPr>
            <w:tcW w:w="170" w:type="dxa"/>
            <w:vAlign w:val="bottom"/>
            <w:tcBorders>
              <w:bottom w:val="single" w:sz="8" w:color="E2E3E4"/>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jc w:val="right"/>
              <w:ind w:right="509"/>
              <w:spacing w:after="0" w:line="181" w:lineRule="exact"/>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2E3E4"/>
            </w:tcBorders>
          </w:tcPr>
          <w:p>
            <w:pPr>
              <w:spacing w:after="0"/>
              <w:rPr>
                <w:sz w:val="15"/>
                <w:szCs w:val="15"/>
                <w:color w:val="auto"/>
              </w:rPr>
            </w:pPr>
          </w:p>
        </w:tc>
        <w:tc>
          <w:tcPr>
            <w:tcW w:w="180" w:type="dxa"/>
            <w:vAlign w:val="bottom"/>
            <w:tcBorders>
              <w:bottom w:val="single" w:sz="8" w:color="E2E3E4"/>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380" w:type="dxa"/>
            <w:vAlign w:val="bottom"/>
            <w:tcBorders>
              <w:bottom w:val="single" w:sz="8" w:color="231F20"/>
            </w:tcBorders>
          </w:tcPr>
          <w:p>
            <w:pPr>
              <w:jc w:val="right"/>
              <w:ind w:right="508"/>
              <w:spacing w:after="0" w:line="181"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2E3E4"/>
            </w:tcBorders>
          </w:tcPr>
          <w:p>
            <w:pPr>
              <w:spacing w:after="0"/>
              <w:rPr>
                <w:sz w:val="15"/>
                <w:szCs w:val="15"/>
                <w:color w:val="auto"/>
              </w:rPr>
            </w:pPr>
          </w:p>
        </w:tc>
        <w:tc>
          <w:tcPr>
            <w:tcW w:w="180" w:type="dxa"/>
            <w:vAlign w:val="bottom"/>
            <w:tcBorders>
              <w:bottom w:val="single" w:sz="8" w:color="E2E3E4"/>
            </w:tcBorders>
          </w:tcPr>
          <w:p>
            <w:pPr>
              <w:spacing w:after="0"/>
              <w:rPr>
                <w:sz w:val="15"/>
                <w:szCs w:val="15"/>
                <w:color w:val="auto"/>
              </w:rPr>
            </w:pPr>
          </w:p>
        </w:tc>
        <w:tc>
          <w:tcPr>
            <w:tcW w:w="34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8"/>
              <w:spacing w:after="0" w:line="181"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2E3E4"/>
            </w:tcBorders>
          </w:tcPr>
          <w:p>
            <w:pPr>
              <w:spacing w:after="0"/>
              <w:rPr>
                <w:sz w:val="15"/>
                <w:szCs w:val="15"/>
                <w:color w:val="auto"/>
              </w:rPr>
            </w:pPr>
          </w:p>
        </w:tc>
      </w:tr>
      <w:tr>
        <w:trPr>
          <w:trHeight w:val="215"/>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b w:val="1"/>
                <w:bCs w:val="1"/>
                <w:color w:val="231F20"/>
              </w:rPr>
              <w:t>Cash flows from operating activities</w:t>
            </w:r>
          </w:p>
        </w:tc>
        <w:tc>
          <w:tcPr>
            <w:tcW w:w="17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60" w:type="dxa"/>
            <w:vAlign w:val="bottom"/>
            <w:tcBorders>
              <w:right w:val="single" w:sz="8" w:color="E2E3E4"/>
            </w:tcBorders>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380" w:type="dxa"/>
            <w:vAlign w:val="bottom"/>
            <w:tcBorders>
              <w:right w:val="single" w:sz="8" w:color="E2E3E4"/>
            </w:tcBorders>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110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r>
      <w:tr>
        <w:trPr>
          <w:trHeight w:val="22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(204,378 )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(97,008 )</w:t>
            </w:r>
          </w:p>
        </w:tc>
        <w:tc>
          <w:tcPr>
            <w:tcW w:w="52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(57,513 )</w:t>
            </w:r>
          </w:p>
        </w:tc>
      </w:tr>
      <w:tr>
        <w:trPr>
          <w:trHeight w:val="226"/>
        </w:trPr>
        <w:tc>
          <w:tcPr>
            <w:tcW w:w="7060" w:type="dxa"/>
            <w:vAlign w:val="bottom"/>
            <w:gridSpan w:val="5"/>
            <w:shd w:val="clear" w:color="auto" w:fill="E2E3E4"/>
          </w:tcPr>
          <w:p>
            <w:pPr>
              <w:spacing w:after="0"/>
              <w:rPr>
                <w:sz w:val="20"/>
                <w:szCs w:val="20"/>
                <w:color w:val="auto"/>
              </w:rPr>
            </w:pPr>
            <w:r>
              <w:rPr>
                <w:rFonts w:ascii="Times New Roman" w:cs="Times New Roman" w:eastAsia="Times New Roman" w:hAnsi="Times New Roman"/>
                <w:sz w:val="18"/>
                <w:szCs w:val="18"/>
                <w:color w:val="231F20"/>
              </w:rPr>
              <w:t>Adjustments to reconcile net loss to net cash provided by (used in) operating activities:</w:t>
            </w: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26"/>
        </w:trPr>
        <w:tc>
          <w:tcPr>
            <w:tcW w:w="5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Amortization of right-of-use assets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4,206</w:t>
            </w:r>
          </w:p>
        </w:tc>
        <w:tc>
          <w:tcPr>
            <w:tcW w:w="100" w:type="dxa"/>
            <w:vAlign w:val="bottom"/>
          </w:tcPr>
          <w:p>
            <w:pPr>
              <w:spacing w:after="0"/>
              <w:rPr>
                <w:sz w:val="19"/>
                <w:szCs w:val="19"/>
                <w:color w:val="auto"/>
              </w:rPr>
            </w:pPr>
          </w:p>
        </w:tc>
      </w:tr>
      <w:tr>
        <w:trPr>
          <w:trHeight w:val="226"/>
        </w:trPr>
        <w:tc>
          <w:tcPr>
            <w:tcW w:w="5370" w:type="dxa"/>
            <w:vAlign w:val="bottom"/>
            <w:shd w:val="clear" w:color="auto" w:fill="E2E3E4"/>
          </w:tcPr>
          <w:p>
            <w:pPr>
              <w:ind w:left="200"/>
              <w:spacing w:after="0"/>
              <w:rPr>
                <w:sz w:val="20"/>
                <w:szCs w:val="20"/>
                <w:color w:val="auto"/>
              </w:rPr>
            </w:pPr>
            <w:r>
              <w:rPr>
                <w:rFonts w:ascii="Times New Roman" w:cs="Times New Roman" w:eastAsia="Times New Roman" w:hAnsi="Times New Roman"/>
                <w:sz w:val="18"/>
                <w:szCs w:val="18"/>
                <w:color w:val="231F20"/>
              </w:rPr>
              <w:t>Depreciation of property and equipment</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3,440</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3,896</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5,000</w:t>
            </w:r>
          </w:p>
        </w:tc>
        <w:tc>
          <w:tcPr>
            <w:tcW w:w="100" w:type="dxa"/>
            <w:vAlign w:val="bottom"/>
            <w:shd w:val="clear" w:color="auto" w:fill="E2E3E4"/>
          </w:tcPr>
          <w:p>
            <w:pPr>
              <w:spacing w:after="0"/>
              <w:rPr>
                <w:sz w:val="19"/>
                <w:szCs w:val="19"/>
                <w:color w:val="auto"/>
              </w:rPr>
            </w:pPr>
          </w:p>
        </w:tc>
      </w:tr>
      <w:tr>
        <w:trPr>
          <w:trHeight w:val="223"/>
        </w:trPr>
        <w:tc>
          <w:tcPr>
            <w:tcW w:w="5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Share-based compensation expense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24,973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9,795</w:t>
            </w:r>
          </w:p>
        </w:tc>
        <w:tc>
          <w:tcPr>
            <w:tcW w:w="100" w:type="dxa"/>
            <w:vAlign w:val="bottom"/>
          </w:tcPr>
          <w:p>
            <w:pPr>
              <w:spacing w:after="0"/>
              <w:rPr>
                <w:sz w:val="19"/>
                <w:szCs w:val="19"/>
                <w:color w:val="auto"/>
              </w:rPr>
            </w:pPr>
          </w:p>
        </w:tc>
      </w:tr>
      <w:tr>
        <w:trPr>
          <w:trHeight w:val="226"/>
        </w:trPr>
        <w:tc>
          <w:tcPr>
            <w:tcW w:w="5370" w:type="dxa"/>
            <w:vAlign w:val="bottom"/>
            <w:shd w:val="clear" w:color="auto" w:fill="E2E3E4"/>
          </w:tcPr>
          <w:p>
            <w:pPr>
              <w:ind w:left="300"/>
              <w:spacing w:after="0"/>
              <w:rPr>
                <w:sz w:val="20"/>
                <w:szCs w:val="20"/>
                <w:color w:val="auto"/>
              </w:rPr>
            </w:pPr>
            <w:r>
              <w:rPr>
                <w:rFonts w:ascii="Times New Roman" w:cs="Times New Roman" w:eastAsia="Times New Roman" w:hAnsi="Times New Roman"/>
                <w:sz w:val="18"/>
                <w:szCs w:val="18"/>
                <w:color w:val="231F20"/>
              </w:rPr>
              <w:t>Changes in operating assets and liabilities:</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26"/>
        </w:trPr>
        <w:tc>
          <w:tcPr>
            <w:tcW w:w="537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Accounts receivable</w:t>
            </w:r>
          </w:p>
        </w:tc>
        <w:tc>
          <w:tcPr>
            <w:tcW w:w="17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19,664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(21,086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highlight w:val="white"/>
                <w:w w:val="74"/>
              </w:rPr>
              <w:t>)</w:t>
            </w:r>
          </w:p>
        </w:tc>
      </w:tr>
      <w:tr>
        <w:trPr>
          <w:trHeight w:val="226"/>
        </w:trPr>
        <w:tc>
          <w:tcPr>
            <w:tcW w:w="5370" w:type="dxa"/>
            <w:vAlign w:val="bottom"/>
            <w:shd w:val="clear" w:color="auto" w:fill="E2E3E4"/>
          </w:tcPr>
          <w:p>
            <w:pPr>
              <w:ind w:left="380"/>
              <w:spacing w:after="0"/>
              <w:rPr>
                <w:sz w:val="20"/>
                <w:szCs w:val="20"/>
                <w:color w:val="auto"/>
              </w:rPr>
            </w:pPr>
            <w:r>
              <w:rPr>
                <w:rFonts w:ascii="Times New Roman" w:cs="Times New Roman" w:eastAsia="Times New Roman" w:hAnsi="Times New Roman"/>
                <w:sz w:val="18"/>
                <w:szCs w:val="18"/>
                <w:color w:val="231F20"/>
              </w:rPr>
              <w:t>Prepaid expenses</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1,149</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368</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(1,980</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226"/>
        </w:trPr>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231F20"/>
              </w:rPr>
              <w:t>Other assets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(3,225 )</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(2,010 )</w:t>
            </w:r>
          </w:p>
        </w:tc>
      </w:tr>
      <w:tr>
        <w:trPr>
          <w:trHeight w:val="226"/>
        </w:trPr>
        <w:tc>
          <w:tcPr>
            <w:tcW w:w="5370" w:type="dxa"/>
            <w:vAlign w:val="bottom"/>
            <w:shd w:val="clear" w:color="auto" w:fill="E2E3E4"/>
          </w:tcPr>
          <w:p>
            <w:pPr>
              <w:ind w:left="380"/>
              <w:spacing w:after="0"/>
              <w:rPr>
                <w:sz w:val="20"/>
                <w:szCs w:val="20"/>
                <w:color w:val="auto"/>
              </w:rPr>
            </w:pPr>
            <w:r>
              <w:rPr>
                <w:rFonts w:ascii="Times New Roman" w:cs="Times New Roman" w:eastAsia="Times New Roman" w:hAnsi="Times New Roman"/>
                <w:sz w:val="18"/>
                <w:szCs w:val="18"/>
                <w:color w:val="231F20"/>
              </w:rPr>
              <w:t>Accounts payable</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(561</w:t>
            </w: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3,421</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(3,761</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226"/>
        </w:trPr>
        <w:tc>
          <w:tcPr>
            <w:tcW w:w="537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Accrued expenses and other current liabilities</w:t>
            </w:r>
          </w:p>
        </w:tc>
        <w:tc>
          <w:tcPr>
            <w:tcW w:w="17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4,253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highlight w:val="white"/>
                <w:w w:val="74"/>
              </w:rPr>
              <w:t>)</w:t>
            </w:r>
          </w:p>
        </w:tc>
      </w:tr>
      <w:tr>
        <w:trPr>
          <w:trHeight w:val="226"/>
        </w:trPr>
        <w:tc>
          <w:tcPr>
            <w:tcW w:w="5370" w:type="dxa"/>
            <w:vAlign w:val="bottom"/>
            <w:shd w:val="clear" w:color="auto" w:fill="E2E3E4"/>
          </w:tcPr>
          <w:p>
            <w:pPr>
              <w:ind w:left="380"/>
              <w:spacing w:after="0"/>
              <w:rPr>
                <w:sz w:val="20"/>
                <w:szCs w:val="20"/>
                <w:color w:val="auto"/>
              </w:rPr>
            </w:pPr>
            <w:r>
              <w:rPr>
                <w:rFonts w:ascii="Times New Roman" w:cs="Times New Roman" w:eastAsia="Times New Roman" w:hAnsi="Times New Roman"/>
                <w:sz w:val="18"/>
                <w:szCs w:val="18"/>
                <w:color w:val="231F20"/>
              </w:rPr>
              <w:t>Deferred revenue</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(19,833</w:t>
            </w: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(93,589</w:t>
            </w: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54,328</w:t>
            </w:r>
          </w:p>
        </w:tc>
        <w:tc>
          <w:tcPr>
            <w:tcW w:w="100" w:type="dxa"/>
            <w:vAlign w:val="bottom"/>
            <w:shd w:val="clear" w:color="auto" w:fill="E2E3E4"/>
          </w:tcPr>
          <w:p>
            <w:pPr>
              <w:spacing w:after="0"/>
              <w:rPr>
                <w:sz w:val="19"/>
                <w:szCs w:val="19"/>
                <w:color w:val="auto"/>
              </w:rPr>
            </w:pPr>
          </w:p>
        </w:tc>
      </w:tr>
      <w:tr>
        <w:trPr>
          <w:trHeight w:val="223"/>
        </w:trPr>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231F20"/>
              </w:rPr>
              <w:t>Operating lease liabilities</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(7,638 )</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(6,714 )</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(5,496 )</w:t>
            </w:r>
          </w:p>
        </w:tc>
      </w:tr>
      <w:tr>
        <w:trPr>
          <w:trHeight w:val="226"/>
        </w:trPr>
        <w:tc>
          <w:tcPr>
            <w:tcW w:w="5370" w:type="dxa"/>
            <w:vAlign w:val="bottom"/>
            <w:shd w:val="clear" w:color="auto" w:fill="E2E3E4"/>
          </w:tcPr>
          <w:p>
            <w:pPr>
              <w:ind w:left="380"/>
              <w:spacing w:after="0"/>
              <w:rPr>
                <w:sz w:val="20"/>
                <w:szCs w:val="20"/>
                <w:color w:val="auto"/>
              </w:rPr>
            </w:pPr>
            <w:r>
              <w:rPr>
                <w:rFonts w:ascii="Times New Roman" w:cs="Times New Roman" w:eastAsia="Times New Roman" w:hAnsi="Times New Roman"/>
                <w:sz w:val="18"/>
                <w:szCs w:val="18"/>
                <w:color w:val="231F20"/>
              </w:rPr>
              <w:t>Other non-current liabilities</w:t>
            </w:r>
          </w:p>
        </w:tc>
        <w:tc>
          <w:tcPr>
            <w:tcW w:w="170" w:type="dxa"/>
            <w:vAlign w:val="bottom"/>
            <w:shd w:val="clear" w:color="auto" w:fill="E2E3E4"/>
          </w:tcPr>
          <w:p>
            <w:pPr>
              <w:spacing w:after="0"/>
              <w:rPr>
                <w:sz w:val="19"/>
                <w:szCs w:val="19"/>
                <w:color w:val="auto"/>
              </w:rPr>
            </w:pPr>
          </w:p>
        </w:tc>
        <w:tc>
          <w:tcPr>
            <w:tcW w:w="100" w:type="dxa"/>
            <w:vAlign w:val="bottom"/>
            <w:tcBorders>
              <w:bottom w:val="single" w:sz="8" w:color="231F20"/>
            </w:tcBorders>
            <w:shd w:val="clear" w:color="auto" w:fill="E2E3E4"/>
          </w:tcPr>
          <w:p>
            <w:pPr>
              <w:spacing w:after="0"/>
              <w:rPr>
                <w:sz w:val="19"/>
                <w:szCs w:val="19"/>
                <w:color w:val="auto"/>
              </w:rPr>
            </w:pPr>
          </w:p>
        </w:tc>
        <w:tc>
          <w:tcPr>
            <w:tcW w:w="136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tcBorders>
              <w:bottom w:val="single" w:sz="8" w:color="231F20"/>
            </w:tcBorders>
            <w:shd w:val="clear" w:color="auto" w:fill="E2E3E4"/>
          </w:tcPr>
          <w:p>
            <w:pPr>
              <w:spacing w:after="0"/>
              <w:rPr>
                <w:sz w:val="19"/>
                <w:szCs w:val="19"/>
                <w:color w:val="auto"/>
              </w:rPr>
            </w:pPr>
          </w:p>
        </w:tc>
        <w:tc>
          <w:tcPr>
            <w:tcW w:w="138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tcBorders>
              <w:bottom w:val="single" w:sz="8" w:color="231F20"/>
            </w:tcBorders>
            <w:shd w:val="clear" w:color="auto" w:fill="E2E3E4"/>
          </w:tcPr>
          <w:p>
            <w:pPr>
              <w:spacing w:after="0"/>
              <w:rPr>
                <w:sz w:val="19"/>
                <w:szCs w:val="19"/>
                <w:color w:val="auto"/>
              </w:rPr>
            </w:pPr>
          </w:p>
        </w:tc>
        <w:tc>
          <w:tcPr>
            <w:tcW w:w="11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(190</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215"/>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Net cash used in operating activities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(187,493</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231F20"/>
                <w:w w:val="73"/>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(151,026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231F20"/>
                <w:w w:val="73"/>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(19,431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r>
      <w:tr>
        <w:trPr>
          <w:trHeight w:val="215"/>
        </w:trPr>
        <w:tc>
          <w:tcPr>
            <w:tcW w:w="537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8"/>
                <w:szCs w:val="18"/>
                <w:b w:val="1"/>
                <w:bCs w:val="1"/>
                <w:color w:val="231F20"/>
              </w:rPr>
              <w:t>Cash flows from investing activities</w:t>
            </w:r>
          </w:p>
        </w:tc>
        <w:tc>
          <w:tcPr>
            <w:tcW w:w="170" w:type="dxa"/>
            <w:vAlign w:val="bottom"/>
            <w:tcBorders>
              <w:top w:val="single" w:sz="8" w:color="E2E3E4"/>
            </w:tcBorders>
            <w:shd w:val="clear" w:color="auto" w:fill="E2E3E4"/>
          </w:tcPr>
          <w:p>
            <w:pPr>
              <w:spacing w:after="0"/>
              <w:rPr>
                <w:sz w:val="18"/>
                <w:szCs w:val="18"/>
                <w:color w:val="auto"/>
              </w:rPr>
            </w:pPr>
          </w:p>
        </w:tc>
        <w:tc>
          <w:tcPr>
            <w:tcW w:w="100" w:type="dxa"/>
            <w:vAlign w:val="bottom"/>
            <w:tcBorders>
              <w:top w:val="single" w:sz="8" w:color="231F20"/>
            </w:tcBorders>
            <w:shd w:val="clear" w:color="auto" w:fill="E2E3E4"/>
          </w:tcPr>
          <w:p>
            <w:pPr>
              <w:spacing w:after="0"/>
              <w:rPr>
                <w:sz w:val="18"/>
                <w:szCs w:val="18"/>
                <w:color w:val="auto"/>
              </w:rPr>
            </w:pPr>
          </w:p>
        </w:tc>
        <w:tc>
          <w:tcPr>
            <w:tcW w:w="1360" w:type="dxa"/>
            <w:vAlign w:val="bottom"/>
            <w:tcBorders>
              <w:top w:val="single" w:sz="8" w:color="231F20"/>
              <w:right w:val="single" w:sz="8" w:color="E2E3E4"/>
            </w:tcBorders>
            <w:shd w:val="clear" w:color="auto" w:fill="E2E3E4"/>
          </w:tcPr>
          <w:p>
            <w:pPr>
              <w:spacing w:after="0"/>
              <w:rPr>
                <w:sz w:val="18"/>
                <w:szCs w:val="18"/>
                <w:color w:val="auto"/>
              </w:rPr>
            </w:pPr>
          </w:p>
        </w:tc>
        <w:tc>
          <w:tcPr>
            <w:tcW w:w="60" w:type="dxa"/>
            <w:vAlign w:val="bottom"/>
            <w:tcBorders>
              <w:top w:val="single" w:sz="8" w:color="E2E3E4"/>
            </w:tcBorders>
            <w:shd w:val="clear" w:color="auto" w:fill="E2E3E4"/>
          </w:tcPr>
          <w:p>
            <w:pPr>
              <w:spacing w:after="0"/>
              <w:rPr>
                <w:sz w:val="18"/>
                <w:szCs w:val="18"/>
                <w:color w:val="auto"/>
              </w:rPr>
            </w:pPr>
          </w:p>
        </w:tc>
        <w:tc>
          <w:tcPr>
            <w:tcW w:w="180" w:type="dxa"/>
            <w:vAlign w:val="bottom"/>
            <w:tcBorders>
              <w:top w:val="single" w:sz="8" w:color="E2E3E4"/>
            </w:tcBorders>
            <w:shd w:val="clear" w:color="auto" w:fill="E2E3E4"/>
          </w:tcPr>
          <w:p>
            <w:pPr>
              <w:spacing w:after="0"/>
              <w:rPr>
                <w:sz w:val="18"/>
                <w:szCs w:val="18"/>
                <w:color w:val="auto"/>
              </w:rPr>
            </w:pPr>
          </w:p>
        </w:tc>
        <w:tc>
          <w:tcPr>
            <w:tcW w:w="80" w:type="dxa"/>
            <w:vAlign w:val="bottom"/>
            <w:tcBorders>
              <w:top w:val="single" w:sz="8" w:color="231F20"/>
            </w:tcBorders>
            <w:shd w:val="clear" w:color="auto" w:fill="E2E3E4"/>
          </w:tcPr>
          <w:p>
            <w:pPr>
              <w:spacing w:after="0"/>
              <w:rPr>
                <w:sz w:val="18"/>
                <w:szCs w:val="18"/>
                <w:color w:val="auto"/>
              </w:rPr>
            </w:pPr>
          </w:p>
        </w:tc>
        <w:tc>
          <w:tcPr>
            <w:tcW w:w="1380" w:type="dxa"/>
            <w:vAlign w:val="bottom"/>
            <w:tcBorders>
              <w:top w:val="single" w:sz="8" w:color="231F20"/>
              <w:right w:val="single" w:sz="8" w:color="E2E3E4"/>
            </w:tcBorders>
            <w:shd w:val="clear" w:color="auto" w:fill="E2E3E4"/>
          </w:tcPr>
          <w:p>
            <w:pPr>
              <w:spacing w:after="0"/>
              <w:rPr>
                <w:sz w:val="18"/>
                <w:szCs w:val="18"/>
                <w:color w:val="auto"/>
              </w:rPr>
            </w:pPr>
          </w:p>
        </w:tc>
        <w:tc>
          <w:tcPr>
            <w:tcW w:w="60" w:type="dxa"/>
            <w:vAlign w:val="bottom"/>
            <w:tcBorders>
              <w:top w:val="single" w:sz="8" w:color="E2E3E4"/>
            </w:tcBorders>
            <w:shd w:val="clear" w:color="auto" w:fill="E2E3E4"/>
          </w:tcPr>
          <w:p>
            <w:pPr>
              <w:spacing w:after="0"/>
              <w:rPr>
                <w:sz w:val="18"/>
                <w:szCs w:val="18"/>
                <w:color w:val="auto"/>
              </w:rPr>
            </w:pPr>
          </w:p>
        </w:tc>
        <w:tc>
          <w:tcPr>
            <w:tcW w:w="180" w:type="dxa"/>
            <w:vAlign w:val="bottom"/>
            <w:tcBorders>
              <w:top w:val="single" w:sz="8" w:color="E2E3E4"/>
            </w:tcBorders>
            <w:shd w:val="clear" w:color="auto" w:fill="E2E3E4"/>
          </w:tcPr>
          <w:p>
            <w:pPr>
              <w:spacing w:after="0"/>
              <w:rPr>
                <w:sz w:val="18"/>
                <w:szCs w:val="18"/>
                <w:color w:val="auto"/>
              </w:rPr>
            </w:pPr>
          </w:p>
        </w:tc>
        <w:tc>
          <w:tcPr>
            <w:tcW w:w="340" w:type="dxa"/>
            <w:vAlign w:val="bottom"/>
            <w:tcBorders>
              <w:top w:val="single" w:sz="8" w:color="231F20"/>
            </w:tcBorders>
            <w:shd w:val="clear" w:color="auto" w:fill="E2E3E4"/>
          </w:tcPr>
          <w:p>
            <w:pPr>
              <w:spacing w:after="0"/>
              <w:rPr>
                <w:sz w:val="18"/>
                <w:szCs w:val="18"/>
                <w:color w:val="auto"/>
              </w:rPr>
            </w:pPr>
          </w:p>
        </w:tc>
        <w:tc>
          <w:tcPr>
            <w:tcW w:w="1100" w:type="dxa"/>
            <w:vAlign w:val="bottom"/>
            <w:tcBorders>
              <w:top w:val="single" w:sz="8" w:color="231F20"/>
            </w:tcBorders>
            <w:shd w:val="clear" w:color="auto" w:fill="E2E3E4"/>
          </w:tcPr>
          <w:p>
            <w:pPr>
              <w:spacing w:after="0"/>
              <w:rPr>
                <w:sz w:val="18"/>
                <w:szCs w:val="18"/>
                <w:color w:val="auto"/>
              </w:rPr>
            </w:pPr>
          </w:p>
        </w:tc>
        <w:tc>
          <w:tcPr>
            <w:tcW w:w="100" w:type="dxa"/>
            <w:vAlign w:val="bottom"/>
            <w:tcBorders>
              <w:top w:val="single" w:sz="8" w:color="E2E3E4"/>
            </w:tcBorders>
            <w:shd w:val="clear" w:color="auto" w:fill="E2E3E4"/>
          </w:tcPr>
          <w:p>
            <w:pPr>
              <w:spacing w:after="0"/>
              <w:rPr>
                <w:sz w:val="18"/>
                <w:szCs w:val="18"/>
                <w:color w:val="auto"/>
              </w:rPr>
            </w:pPr>
          </w:p>
        </w:tc>
      </w:tr>
      <w:tr>
        <w:trPr>
          <w:trHeight w:val="226"/>
        </w:trPr>
        <w:tc>
          <w:tcPr>
            <w:tcW w:w="5370" w:type="dxa"/>
            <w:vAlign w:val="bottom"/>
          </w:tcPr>
          <w:p>
            <w:pPr>
              <w:spacing w:after="0"/>
              <w:rPr>
                <w:sz w:val="20"/>
                <w:szCs w:val="20"/>
                <w:color w:val="auto"/>
              </w:rPr>
            </w:pPr>
            <w:r>
              <w:rPr>
                <w:rFonts w:ascii="Times New Roman" w:cs="Times New Roman" w:eastAsia="Times New Roman" w:hAnsi="Times New Roman"/>
                <w:sz w:val="18"/>
                <w:szCs w:val="18"/>
                <w:color w:val="231F20"/>
              </w:rPr>
              <w:t>Purchases of property and equipment</w:t>
            </w:r>
          </w:p>
        </w:tc>
        <w:tc>
          <w:tcPr>
            <w:tcW w:w="17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(718</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(938</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highlight w:val="white"/>
                <w:w w:val="74"/>
              </w:rPr>
              <w:t>)</w:t>
            </w:r>
          </w:p>
        </w:tc>
      </w:tr>
      <w:tr>
        <w:trPr>
          <w:trHeight w:val="20"/>
        </w:trPr>
        <w:tc>
          <w:tcPr>
            <w:tcW w:w="5540" w:type="dxa"/>
            <w:vAlign w:val="bottom"/>
            <w:gridSpan w:val="2"/>
            <w:shd w:val="clear" w:color="auto" w:fill="E2E3E4"/>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360" w:type="dxa"/>
            <w:vAlign w:val="bottom"/>
            <w:tcBorders>
              <w:right w:val="single" w:sz="8" w:color="231F20"/>
            </w:tcBorders>
            <w:shd w:val="clear" w:color="auto" w:fill="231F20"/>
          </w:tcPr>
          <w:p>
            <w:pPr>
              <w:spacing w:after="0" w:line="20" w:lineRule="exact"/>
              <w:rPr>
                <w:sz w:val="1"/>
                <w:szCs w:val="1"/>
                <w:color w:val="auto"/>
              </w:rPr>
            </w:pPr>
          </w:p>
        </w:tc>
        <w:tc>
          <w:tcPr>
            <w:tcW w:w="60" w:type="dxa"/>
            <w:vAlign w:val="bottom"/>
            <w:shd w:val="clear" w:color="auto" w:fill="E2E3E4"/>
          </w:tcPr>
          <w:p>
            <w:pPr>
              <w:spacing w:after="0" w:line="20" w:lineRule="exact"/>
              <w:rPr>
                <w:sz w:val="1"/>
                <w:szCs w:val="1"/>
                <w:color w:val="auto"/>
              </w:rPr>
            </w:pPr>
          </w:p>
        </w:tc>
        <w:tc>
          <w:tcPr>
            <w:tcW w:w="180" w:type="dxa"/>
            <w:vAlign w:val="bottom"/>
            <w:shd w:val="clear" w:color="auto" w:fill="E2E3E4"/>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380" w:type="dxa"/>
            <w:vAlign w:val="bottom"/>
            <w:tcBorders>
              <w:right w:val="single" w:sz="8" w:color="231F20"/>
            </w:tcBorders>
            <w:shd w:val="clear" w:color="auto" w:fill="231F20"/>
          </w:tcPr>
          <w:p>
            <w:pPr>
              <w:spacing w:after="0" w:line="20" w:lineRule="exact"/>
              <w:rPr>
                <w:sz w:val="1"/>
                <w:szCs w:val="1"/>
                <w:color w:val="auto"/>
              </w:rPr>
            </w:pPr>
          </w:p>
        </w:tc>
        <w:tc>
          <w:tcPr>
            <w:tcW w:w="60" w:type="dxa"/>
            <w:vAlign w:val="bottom"/>
            <w:shd w:val="clear" w:color="auto" w:fill="E2E3E4"/>
          </w:tcPr>
          <w:p>
            <w:pPr>
              <w:spacing w:after="0" w:line="20" w:lineRule="exact"/>
              <w:rPr>
                <w:sz w:val="1"/>
                <w:szCs w:val="1"/>
                <w:color w:val="auto"/>
              </w:rPr>
            </w:pPr>
          </w:p>
        </w:tc>
        <w:tc>
          <w:tcPr>
            <w:tcW w:w="180" w:type="dxa"/>
            <w:vAlign w:val="bottom"/>
            <w:shd w:val="clear" w:color="auto" w:fill="E2E3E4"/>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100" w:type="dxa"/>
            <w:vAlign w:val="bottom"/>
            <w:shd w:val="clear" w:color="auto" w:fill="E2E3E4"/>
          </w:tcPr>
          <w:p>
            <w:pPr>
              <w:spacing w:after="0" w:line="20" w:lineRule="exact"/>
              <w:rPr>
                <w:sz w:val="1"/>
                <w:szCs w:val="1"/>
                <w:color w:val="auto"/>
              </w:rPr>
            </w:pPr>
          </w:p>
        </w:tc>
      </w:tr>
      <w:tr>
        <w:trPr>
          <w:trHeight w:val="235"/>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color w:val="231F20"/>
              </w:rPr>
              <w:t>Net cash used in investing activities</w:t>
            </w:r>
          </w:p>
        </w:tc>
        <w:tc>
          <w:tcPr>
            <w:tcW w:w="17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(718</w:t>
            </w: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8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(938</w:t>
            </w:r>
          </w:p>
        </w:tc>
        <w:tc>
          <w:tcPr>
            <w:tcW w:w="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80" w:type="dxa"/>
            <w:vAlign w:val="bottom"/>
            <w:shd w:val="clear" w:color="auto" w:fill="E2E3E4"/>
          </w:tcPr>
          <w:p>
            <w:pPr>
              <w:spacing w:after="0"/>
              <w:rPr>
                <w:sz w:val="20"/>
                <w:szCs w:val="20"/>
                <w:color w:val="auto"/>
              </w:rPr>
            </w:pPr>
          </w:p>
        </w:tc>
        <w:tc>
          <w:tcPr>
            <w:tcW w:w="340" w:type="dxa"/>
            <w:vAlign w:val="bottom"/>
            <w:shd w:val="clear" w:color="auto" w:fill="E2E3E4"/>
          </w:tcPr>
          <w:p>
            <w:pPr>
              <w:spacing w:after="0"/>
              <w:rPr>
                <w:sz w:val="20"/>
                <w:szCs w:val="20"/>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(1,115</w:t>
            </w: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195"/>
        </w:trPr>
        <w:tc>
          <w:tcPr>
            <w:tcW w:w="5540" w:type="dxa"/>
            <w:vAlign w:val="bottom"/>
            <w:tcBorders>
              <w:top w:val="single" w:sz="8" w:color="E2E3E4"/>
            </w:tcBorders>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231F20"/>
              </w:rPr>
              <w:t>Cash flows from financing activities</w:t>
            </w:r>
          </w:p>
        </w:tc>
        <w:tc>
          <w:tcPr>
            <w:tcW w:w="100" w:type="dxa"/>
            <w:vAlign w:val="bottom"/>
            <w:tcBorders>
              <w:top w:val="single" w:sz="8" w:color="231F20"/>
            </w:tcBorders>
          </w:tcPr>
          <w:p>
            <w:pPr>
              <w:spacing w:after="0"/>
              <w:rPr>
                <w:sz w:val="16"/>
                <w:szCs w:val="16"/>
                <w:color w:val="auto"/>
              </w:rPr>
            </w:pPr>
          </w:p>
        </w:tc>
        <w:tc>
          <w:tcPr>
            <w:tcW w:w="1360" w:type="dxa"/>
            <w:vAlign w:val="bottom"/>
            <w:tcBorders>
              <w:top w:val="single" w:sz="8" w:color="231F20"/>
            </w:tcBorders>
          </w:tcPr>
          <w:p>
            <w:pPr>
              <w:spacing w:after="0"/>
              <w:rPr>
                <w:sz w:val="16"/>
                <w:szCs w:val="16"/>
                <w:color w:val="auto"/>
              </w:rPr>
            </w:pPr>
          </w:p>
        </w:tc>
        <w:tc>
          <w:tcPr>
            <w:tcW w:w="60" w:type="dxa"/>
            <w:vAlign w:val="bottom"/>
            <w:tcBorders>
              <w:top w:val="single" w:sz="8" w:color="E2E3E4"/>
            </w:tcBorders>
          </w:tcPr>
          <w:p>
            <w:pPr>
              <w:spacing w:after="0"/>
              <w:rPr>
                <w:sz w:val="16"/>
                <w:szCs w:val="16"/>
                <w:color w:val="auto"/>
              </w:rPr>
            </w:pPr>
          </w:p>
        </w:tc>
        <w:tc>
          <w:tcPr>
            <w:tcW w:w="180" w:type="dxa"/>
            <w:vAlign w:val="bottom"/>
            <w:tcBorders>
              <w:top w:val="single" w:sz="8" w:color="E2E3E4"/>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1380" w:type="dxa"/>
            <w:vAlign w:val="bottom"/>
            <w:tcBorders>
              <w:top w:val="single" w:sz="8" w:color="231F20"/>
            </w:tcBorders>
          </w:tcPr>
          <w:p>
            <w:pPr>
              <w:spacing w:after="0"/>
              <w:rPr>
                <w:sz w:val="16"/>
                <w:szCs w:val="16"/>
                <w:color w:val="auto"/>
              </w:rPr>
            </w:pPr>
          </w:p>
        </w:tc>
        <w:tc>
          <w:tcPr>
            <w:tcW w:w="60" w:type="dxa"/>
            <w:vAlign w:val="bottom"/>
            <w:tcBorders>
              <w:top w:val="single" w:sz="8" w:color="E2E3E4"/>
            </w:tcBorders>
          </w:tcPr>
          <w:p>
            <w:pPr>
              <w:spacing w:after="0"/>
              <w:rPr>
                <w:sz w:val="16"/>
                <w:szCs w:val="16"/>
                <w:color w:val="auto"/>
              </w:rPr>
            </w:pPr>
          </w:p>
        </w:tc>
        <w:tc>
          <w:tcPr>
            <w:tcW w:w="180" w:type="dxa"/>
            <w:vAlign w:val="bottom"/>
            <w:tcBorders>
              <w:top w:val="single" w:sz="8" w:color="E2E3E4"/>
            </w:tcBorders>
          </w:tcPr>
          <w:p>
            <w:pPr>
              <w:spacing w:after="0"/>
              <w:rPr>
                <w:sz w:val="16"/>
                <w:szCs w:val="16"/>
                <w:color w:val="auto"/>
              </w:rPr>
            </w:pPr>
          </w:p>
        </w:tc>
        <w:tc>
          <w:tcPr>
            <w:tcW w:w="340" w:type="dxa"/>
            <w:vAlign w:val="bottom"/>
            <w:tcBorders>
              <w:top w:val="single" w:sz="8" w:color="231F20"/>
            </w:tcBorders>
          </w:tcPr>
          <w:p>
            <w:pPr>
              <w:spacing w:after="0"/>
              <w:rPr>
                <w:sz w:val="16"/>
                <w:szCs w:val="16"/>
                <w:color w:val="auto"/>
              </w:rPr>
            </w:pPr>
          </w:p>
        </w:tc>
        <w:tc>
          <w:tcPr>
            <w:tcW w:w="1100" w:type="dxa"/>
            <w:vAlign w:val="bottom"/>
            <w:tcBorders>
              <w:top w:val="single" w:sz="8" w:color="231F20"/>
            </w:tcBorders>
          </w:tcPr>
          <w:p>
            <w:pPr>
              <w:spacing w:after="0"/>
              <w:rPr>
                <w:sz w:val="16"/>
                <w:szCs w:val="16"/>
                <w:color w:val="auto"/>
              </w:rPr>
            </w:pPr>
          </w:p>
        </w:tc>
        <w:tc>
          <w:tcPr>
            <w:tcW w:w="100" w:type="dxa"/>
            <w:vAlign w:val="bottom"/>
            <w:tcBorders>
              <w:top w:val="single" w:sz="8" w:color="E2E3E4"/>
            </w:tcBorders>
          </w:tcPr>
          <w:p>
            <w:pPr>
              <w:spacing w:after="0"/>
              <w:rPr>
                <w:sz w:val="16"/>
                <w:szCs w:val="16"/>
                <w:color w:val="auto"/>
              </w:rPr>
            </w:pPr>
          </w:p>
        </w:tc>
      </w:tr>
      <w:tr>
        <w:trPr>
          <w:trHeight w:val="226"/>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color w:val="231F20"/>
              </w:rPr>
              <w:t>Proceeds from the issuance of ordinary shares as a part of the</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12"/>
        </w:trPr>
        <w:tc>
          <w:tcPr>
            <w:tcW w:w="5370" w:type="dxa"/>
            <w:vAlign w:val="bottom"/>
            <w:shd w:val="clear" w:color="auto" w:fill="E2E3E4"/>
          </w:tcPr>
          <w:p>
            <w:pPr>
              <w:ind w:left="140"/>
              <w:spacing w:after="0"/>
              <w:rPr>
                <w:sz w:val="20"/>
                <w:szCs w:val="20"/>
                <w:color w:val="auto"/>
              </w:rPr>
            </w:pPr>
            <w:r>
              <w:rPr>
                <w:rFonts w:ascii="Times New Roman" w:cs="Times New Roman" w:eastAsia="Times New Roman" w:hAnsi="Times New Roman"/>
                <w:sz w:val="18"/>
                <w:szCs w:val="18"/>
                <w:color w:val="231F20"/>
              </w:rPr>
              <w:t>December 2023 Offering, net of offering costs</w:t>
            </w:r>
          </w:p>
        </w:tc>
        <w:tc>
          <w:tcPr>
            <w:tcW w:w="17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14,038</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93,574</w:t>
            </w:r>
          </w:p>
        </w:tc>
        <w:tc>
          <w:tcPr>
            <w:tcW w:w="100" w:type="dxa"/>
            <w:vAlign w:val="bottom"/>
            <w:shd w:val="clear" w:color="auto" w:fill="E2E3E4"/>
          </w:tcPr>
          <w:p>
            <w:pPr>
              <w:spacing w:after="0"/>
              <w:rPr>
                <w:sz w:val="18"/>
                <w:szCs w:val="18"/>
                <w:color w:val="auto"/>
              </w:rPr>
            </w:pPr>
          </w:p>
        </w:tc>
      </w:tr>
      <w:tr>
        <w:trPr>
          <w:trHeight w:val="20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Proceeds from the issuance of ordinary shares as a part of the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September 2024 Offering, net of offering costs</w:t>
            </w:r>
          </w:p>
        </w:tc>
        <w:tc>
          <w:tcPr>
            <w:tcW w:w="100" w:type="dxa"/>
            <w:vAlign w:val="bottom"/>
          </w:tcPr>
          <w:p>
            <w:pPr>
              <w:spacing w:after="0"/>
              <w:rPr>
                <w:sz w:val="19"/>
                <w:szCs w:val="19"/>
                <w:color w:val="auto"/>
              </w:rPr>
            </w:pPr>
          </w:p>
        </w:tc>
        <w:tc>
          <w:tcPr>
            <w:tcW w:w="1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201,758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231F20"/>
              </w:rPr>
              <w:t>—</w:t>
            </w:r>
          </w:p>
        </w:tc>
      </w:tr>
      <w:tr>
        <w:trPr>
          <w:trHeight w:val="226"/>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color w:val="231F20"/>
              </w:rPr>
              <w:t>Proceeds from issuance pre-funded warrants as a part of the</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12"/>
        </w:trPr>
        <w:tc>
          <w:tcPr>
            <w:tcW w:w="5370" w:type="dxa"/>
            <w:vAlign w:val="bottom"/>
            <w:shd w:val="clear" w:color="auto" w:fill="E2E3E4"/>
          </w:tcPr>
          <w:p>
            <w:pPr>
              <w:ind w:left="140"/>
              <w:spacing w:after="0"/>
              <w:rPr>
                <w:sz w:val="20"/>
                <w:szCs w:val="20"/>
                <w:color w:val="auto"/>
              </w:rPr>
            </w:pPr>
            <w:r>
              <w:rPr>
                <w:rFonts w:ascii="Times New Roman" w:cs="Times New Roman" w:eastAsia="Times New Roman" w:hAnsi="Times New Roman"/>
                <w:sz w:val="18"/>
                <w:szCs w:val="18"/>
                <w:color w:val="231F20"/>
              </w:rPr>
              <w:t>September 2024 Offering, net of offering costs</w:t>
            </w:r>
          </w:p>
        </w:tc>
        <w:tc>
          <w:tcPr>
            <w:tcW w:w="17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14,076</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E2E3E4"/>
          </w:tcPr>
          <w:p>
            <w:pPr>
              <w:spacing w:after="0"/>
              <w:rPr>
                <w:sz w:val="18"/>
                <w:szCs w:val="18"/>
                <w:color w:val="auto"/>
              </w:rPr>
            </w:pPr>
          </w:p>
        </w:tc>
      </w:tr>
      <w:tr>
        <w:trPr>
          <w:trHeight w:val="20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Proceeds from the issuance of ordinary shares as a part of the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December 2025 Offering, net of offering costs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330,912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231F20"/>
              </w:rPr>
              <w:t>—</w:t>
            </w:r>
          </w:p>
        </w:tc>
      </w:tr>
      <w:tr>
        <w:trPr>
          <w:trHeight w:val="226"/>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color w:val="231F20"/>
              </w:rPr>
              <w:t>Proceeds from issuance pre-funded warrants as a part of the</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12"/>
        </w:trPr>
        <w:tc>
          <w:tcPr>
            <w:tcW w:w="5370" w:type="dxa"/>
            <w:vAlign w:val="bottom"/>
            <w:shd w:val="clear" w:color="auto" w:fill="E2E3E4"/>
          </w:tcPr>
          <w:p>
            <w:pPr>
              <w:ind w:left="140"/>
              <w:spacing w:after="0"/>
              <w:rPr>
                <w:sz w:val="20"/>
                <w:szCs w:val="20"/>
                <w:color w:val="auto"/>
              </w:rPr>
            </w:pPr>
            <w:r>
              <w:rPr>
                <w:rFonts w:ascii="Times New Roman" w:cs="Times New Roman" w:eastAsia="Times New Roman" w:hAnsi="Times New Roman"/>
                <w:sz w:val="18"/>
                <w:szCs w:val="18"/>
                <w:color w:val="231F20"/>
              </w:rPr>
              <w:t>December 2025 Offering, net of offering costs</w:t>
            </w:r>
          </w:p>
        </w:tc>
        <w:tc>
          <w:tcPr>
            <w:tcW w:w="17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46,938</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E2E3E4"/>
          </w:tcPr>
          <w:p>
            <w:pPr>
              <w:spacing w:after="0"/>
              <w:rPr>
                <w:sz w:val="18"/>
                <w:szCs w:val="18"/>
                <w:color w:val="auto"/>
              </w:rPr>
            </w:pPr>
          </w:p>
        </w:tc>
      </w:tr>
      <w:tr>
        <w:trPr>
          <w:trHeight w:val="20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Proceeds from issuance of ordinary shares pursuant to the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GSK Collaboration Agreement</w:t>
            </w:r>
          </w:p>
        </w:tc>
        <w:tc>
          <w:tcPr>
            <w:tcW w:w="100" w:type="dxa"/>
            <w:vAlign w:val="bottom"/>
          </w:tcPr>
          <w:p>
            <w:pPr>
              <w:spacing w:after="0"/>
              <w:rPr>
                <w:sz w:val="19"/>
                <w:szCs w:val="19"/>
                <w:color w:val="auto"/>
              </w:rPr>
            </w:pPr>
          </w:p>
        </w:tc>
        <w:tc>
          <w:tcPr>
            <w:tcW w:w="1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34,623</w:t>
            </w:r>
          </w:p>
        </w:tc>
        <w:tc>
          <w:tcPr>
            <w:tcW w:w="100" w:type="dxa"/>
            <w:vAlign w:val="bottom"/>
          </w:tcPr>
          <w:p>
            <w:pPr>
              <w:spacing w:after="0"/>
              <w:rPr>
                <w:sz w:val="19"/>
                <w:szCs w:val="19"/>
                <w:color w:val="auto"/>
              </w:rPr>
            </w:pPr>
          </w:p>
        </w:tc>
      </w:tr>
      <w:tr>
        <w:trPr>
          <w:trHeight w:val="226"/>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color w:val="231F20"/>
              </w:rPr>
              <w:t>Proceeds from issuance of ordinary shares pursuant to the</w:t>
            </w:r>
          </w:p>
        </w:tc>
        <w:tc>
          <w:tcPr>
            <w:tcW w:w="17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36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380" w:type="dxa"/>
            <w:vAlign w:val="bottom"/>
            <w:tcBorders>
              <w:right w:val="single" w:sz="8" w:color="E2E3E4"/>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110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r>
      <w:tr>
        <w:trPr>
          <w:trHeight w:val="212"/>
        </w:trPr>
        <w:tc>
          <w:tcPr>
            <w:tcW w:w="5370" w:type="dxa"/>
            <w:vAlign w:val="bottom"/>
            <w:shd w:val="clear" w:color="auto" w:fill="E2E3E4"/>
          </w:tcPr>
          <w:p>
            <w:pPr>
              <w:ind w:left="140"/>
              <w:spacing w:after="0"/>
              <w:rPr>
                <w:sz w:val="20"/>
                <w:szCs w:val="20"/>
                <w:color w:val="auto"/>
              </w:rPr>
            </w:pPr>
            <w:r>
              <w:rPr>
                <w:rFonts w:ascii="Times New Roman" w:cs="Times New Roman" w:eastAsia="Times New Roman" w:hAnsi="Times New Roman"/>
                <w:sz w:val="18"/>
                <w:szCs w:val="18"/>
                <w:color w:val="231F20"/>
              </w:rPr>
              <w:t>at-the-market equity program, net</w:t>
            </w:r>
          </w:p>
        </w:tc>
        <w:tc>
          <w:tcPr>
            <w:tcW w:w="17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6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94,636</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380" w:type="dxa"/>
            <w:vAlign w:val="bottom"/>
            <w:tcBorders>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20,380</w:t>
            </w: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1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3,080</w:t>
            </w:r>
          </w:p>
        </w:tc>
        <w:tc>
          <w:tcPr>
            <w:tcW w:w="100" w:type="dxa"/>
            <w:vAlign w:val="bottom"/>
            <w:shd w:val="clear" w:color="auto" w:fill="E2E3E4"/>
          </w:tcPr>
          <w:p>
            <w:pPr>
              <w:spacing w:after="0"/>
              <w:rPr>
                <w:sz w:val="18"/>
                <w:szCs w:val="18"/>
                <w:color w:val="auto"/>
              </w:rPr>
            </w:pPr>
          </w:p>
        </w:tc>
      </w:tr>
      <w:tr>
        <w:trPr>
          <w:trHeight w:val="223"/>
        </w:trPr>
        <w:tc>
          <w:tcPr>
            <w:tcW w:w="5370" w:type="dxa"/>
            <w:vAlign w:val="bottom"/>
          </w:tcPr>
          <w:p>
            <w:pPr>
              <w:spacing w:after="0"/>
              <w:rPr>
                <w:sz w:val="20"/>
                <w:szCs w:val="20"/>
                <w:color w:val="auto"/>
              </w:rPr>
            </w:pPr>
            <w:r>
              <w:rPr>
                <w:rFonts w:ascii="Times New Roman" w:cs="Times New Roman" w:eastAsia="Times New Roman" w:hAnsi="Times New Roman"/>
                <w:sz w:val="18"/>
                <w:szCs w:val="18"/>
                <w:color w:val="231F20"/>
              </w:rPr>
              <w:t>Proceeds from the exercise of share options</w:t>
            </w:r>
          </w:p>
        </w:tc>
        <w:tc>
          <w:tcPr>
            <w:tcW w:w="17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14,868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509</w:t>
            </w:r>
          </w:p>
        </w:tc>
        <w:tc>
          <w:tcPr>
            <w:tcW w:w="100" w:type="dxa"/>
            <w:vAlign w:val="bottom"/>
          </w:tcPr>
          <w:p>
            <w:pPr>
              <w:spacing w:after="0"/>
              <w:rPr>
                <w:sz w:val="19"/>
                <w:szCs w:val="19"/>
                <w:color w:val="auto"/>
              </w:rPr>
            </w:pPr>
          </w:p>
        </w:tc>
      </w:tr>
      <w:tr>
        <w:trPr>
          <w:trHeight w:val="226"/>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color w:val="231F20"/>
              </w:rPr>
              <w:t>Proceeds from the ESPP</w:t>
            </w:r>
          </w:p>
        </w:tc>
        <w:tc>
          <w:tcPr>
            <w:tcW w:w="170" w:type="dxa"/>
            <w:vAlign w:val="bottom"/>
            <w:shd w:val="clear" w:color="auto" w:fill="E2E3E4"/>
          </w:tcPr>
          <w:p>
            <w:pPr>
              <w:spacing w:after="0"/>
              <w:rPr>
                <w:sz w:val="19"/>
                <w:szCs w:val="19"/>
                <w:color w:val="auto"/>
              </w:rPr>
            </w:pPr>
          </w:p>
        </w:tc>
        <w:tc>
          <w:tcPr>
            <w:tcW w:w="100" w:type="dxa"/>
            <w:vAlign w:val="bottom"/>
            <w:tcBorders>
              <w:bottom w:val="single" w:sz="8" w:color="231F20"/>
            </w:tcBorders>
            <w:shd w:val="clear" w:color="auto" w:fill="E2E3E4"/>
          </w:tcPr>
          <w:p>
            <w:pPr>
              <w:spacing w:after="0"/>
              <w:rPr>
                <w:sz w:val="19"/>
                <w:szCs w:val="19"/>
                <w:color w:val="auto"/>
              </w:rPr>
            </w:pPr>
          </w:p>
        </w:tc>
        <w:tc>
          <w:tcPr>
            <w:tcW w:w="136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881</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tcBorders>
              <w:bottom w:val="single" w:sz="8" w:color="231F20"/>
            </w:tcBorders>
            <w:shd w:val="clear" w:color="auto" w:fill="E2E3E4"/>
          </w:tcPr>
          <w:p>
            <w:pPr>
              <w:spacing w:after="0"/>
              <w:rPr>
                <w:sz w:val="19"/>
                <w:szCs w:val="19"/>
                <w:color w:val="auto"/>
              </w:rPr>
            </w:pPr>
          </w:p>
        </w:tc>
        <w:tc>
          <w:tcPr>
            <w:tcW w:w="138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659</w:t>
            </w:r>
          </w:p>
        </w:tc>
        <w:tc>
          <w:tcPr>
            <w:tcW w:w="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340" w:type="dxa"/>
            <w:vAlign w:val="bottom"/>
            <w:tcBorders>
              <w:bottom w:val="single" w:sz="8" w:color="231F20"/>
            </w:tcBorders>
            <w:shd w:val="clear" w:color="auto" w:fill="E2E3E4"/>
          </w:tcPr>
          <w:p>
            <w:pPr>
              <w:spacing w:after="0"/>
              <w:rPr>
                <w:sz w:val="19"/>
                <w:szCs w:val="19"/>
                <w:color w:val="auto"/>
              </w:rPr>
            </w:pPr>
          </w:p>
        </w:tc>
        <w:tc>
          <w:tcPr>
            <w:tcW w:w="11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748</w:t>
            </w:r>
          </w:p>
        </w:tc>
        <w:tc>
          <w:tcPr>
            <w:tcW w:w="100" w:type="dxa"/>
            <w:vAlign w:val="bottom"/>
            <w:shd w:val="clear" w:color="auto" w:fill="E2E3E4"/>
          </w:tcPr>
          <w:p>
            <w:pPr>
              <w:spacing w:after="0"/>
              <w:rPr>
                <w:sz w:val="19"/>
                <w:szCs w:val="19"/>
                <w:color w:val="auto"/>
              </w:rPr>
            </w:pPr>
          </w:p>
        </w:tc>
      </w:tr>
      <w:tr>
        <w:trPr>
          <w:trHeight w:val="217"/>
        </w:trPr>
        <w:tc>
          <w:tcPr>
            <w:tcW w:w="5540" w:type="dxa"/>
            <w:vAlign w:val="bottom"/>
            <w:tcBorders>
              <w:bottom w:val="single" w:sz="8" w:color="E2E3E4"/>
            </w:tcBorders>
            <w:gridSpan w:val="2"/>
          </w:tcPr>
          <w:p>
            <w:pPr>
              <w:spacing w:after="0"/>
              <w:rPr>
                <w:sz w:val="20"/>
                <w:szCs w:val="20"/>
                <w:color w:val="auto"/>
              </w:rPr>
            </w:pPr>
            <w:r>
              <w:rPr>
                <w:rFonts w:ascii="Times New Roman" w:cs="Times New Roman" w:eastAsia="Times New Roman" w:hAnsi="Times New Roman"/>
                <w:sz w:val="18"/>
                <w:szCs w:val="18"/>
                <w:color w:val="231F20"/>
              </w:rPr>
              <w:t>Net cash provided by financing activities</w:t>
            </w:r>
          </w:p>
        </w:tc>
        <w:tc>
          <w:tcPr>
            <w:tcW w:w="1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488,235</w:t>
            </w:r>
          </w:p>
        </w:tc>
        <w:tc>
          <w:tcPr>
            <w:tcW w:w="60" w:type="dxa"/>
            <w:vAlign w:val="bottom"/>
            <w:tcBorders>
              <w:bottom w:val="single" w:sz="8" w:color="E2E3E4"/>
            </w:tcBorders>
          </w:tcPr>
          <w:p>
            <w:pPr>
              <w:spacing w:after="0"/>
              <w:rPr>
                <w:sz w:val="18"/>
                <w:szCs w:val="18"/>
                <w:color w:val="auto"/>
              </w:rPr>
            </w:pPr>
          </w:p>
        </w:tc>
        <w:tc>
          <w:tcPr>
            <w:tcW w:w="180" w:type="dxa"/>
            <w:vAlign w:val="bottom"/>
            <w:tcBorders>
              <w:bottom w:val="single" w:sz="8" w:color="E2E3E4"/>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253,890</w:t>
            </w:r>
          </w:p>
        </w:tc>
        <w:tc>
          <w:tcPr>
            <w:tcW w:w="60" w:type="dxa"/>
            <w:vAlign w:val="bottom"/>
            <w:tcBorders>
              <w:bottom w:val="single" w:sz="8" w:color="E2E3E4"/>
            </w:tcBorders>
          </w:tcPr>
          <w:p>
            <w:pPr>
              <w:spacing w:after="0"/>
              <w:rPr>
                <w:sz w:val="18"/>
                <w:szCs w:val="18"/>
                <w:color w:val="auto"/>
              </w:rPr>
            </w:pPr>
          </w:p>
        </w:tc>
        <w:tc>
          <w:tcPr>
            <w:tcW w:w="180" w:type="dxa"/>
            <w:vAlign w:val="bottom"/>
            <w:tcBorders>
              <w:bottom w:val="single" w:sz="8" w:color="E2E3E4"/>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132,534</w:t>
            </w:r>
          </w:p>
        </w:tc>
        <w:tc>
          <w:tcPr>
            <w:tcW w:w="100" w:type="dxa"/>
            <w:vAlign w:val="bottom"/>
            <w:tcBorders>
              <w:bottom w:val="single" w:sz="8" w:color="E2E3E4"/>
            </w:tcBorders>
          </w:tcPr>
          <w:p>
            <w:pPr>
              <w:spacing w:after="0"/>
              <w:rPr>
                <w:sz w:val="18"/>
                <w:szCs w:val="18"/>
                <w:color w:val="auto"/>
              </w:rPr>
            </w:pPr>
          </w:p>
        </w:tc>
      </w:tr>
      <w:tr>
        <w:trPr>
          <w:trHeight w:val="235"/>
        </w:trPr>
        <w:tc>
          <w:tcPr>
            <w:tcW w:w="5370" w:type="dxa"/>
            <w:vAlign w:val="bottom"/>
            <w:tcBorders>
              <w:bottom w:val="single" w:sz="8" w:color="E2E3E4"/>
            </w:tcBorders>
            <w:shd w:val="clear" w:color="auto" w:fill="E2E3E4"/>
          </w:tcPr>
          <w:p>
            <w:pPr>
              <w:spacing w:after="0"/>
              <w:rPr>
                <w:sz w:val="20"/>
                <w:szCs w:val="20"/>
                <w:color w:val="auto"/>
              </w:rPr>
            </w:pPr>
            <w:r>
              <w:rPr>
                <w:rFonts w:ascii="Times New Roman" w:cs="Times New Roman" w:eastAsia="Times New Roman" w:hAnsi="Times New Roman"/>
                <w:sz w:val="18"/>
                <w:szCs w:val="18"/>
                <w:color w:val="231F20"/>
              </w:rPr>
              <w:t>Effect of foreign exchange rates on cash</w:t>
            </w:r>
          </w:p>
        </w:tc>
        <w:tc>
          <w:tcPr>
            <w:tcW w:w="17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36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60" w:type="dxa"/>
            <w:vAlign w:val="bottom"/>
            <w:tcBorders>
              <w:bottom w:val="single" w:sz="8" w:color="E2E3E4"/>
            </w:tcBorders>
            <w:shd w:val="clear" w:color="auto" w:fill="E2E3E4"/>
          </w:tcPr>
          <w:p>
            <w:pPr>
              <w:spacing w:after="0"/>
              <w:rPr>
                <w:sz w:val="20"/>
                <w:szCs w:val="20"/>
                <w:color w:val="auto"/>
              </w:rPr>
            </w:pPr>
          </w:p>
        </w:tc>
        <w:tc>
          <w:tcPr>
            <w:tcW w:w="180" w:type="dxa"/>
            <w:vAlign w:val="bottom"/>
            <w:tcBorders>
              <w:bottom w:val="single" w:sz="8" w:color="E2E3E4"/>
            </w:tcBorders>
            <w:shd w:val="clear" w:color="auto" w:fill="E2E3E4"/>
          </w:tcPr>
          <w:p>
            <w:pPr>
              <w:spacing w:after="0"/>
              <w:rPr>
                <w:sz w:val="20"/>
                <w:szCs w:val="20"/>
                <w:color w:val="auto"/>
              </w:rPr>
            </w:pPr>
          </w:p>
        </w:tc>
        <w:tc>
          <w:tcPr>
            <w:tcW w:w="80" w:type="dxa"/>
            <w:vAlign w:val="bottom"/>
            <w:tcBorders>
              <w:bottom w:val="single" w:sz="8" w:color="231F20"/>
            </w:tcBorders>
            <w:shd w:val="clear" w:color="auto" w:fill="E2E3E4"/>
          </w:tcPr>
          <w:p>
            <w:pPr>
              <w:spacing w:after="0"/>
              <w:rPr>
                <w:sz w:val="20"/>
                <w:szCs w:val="20"/>
                <w:color w:val="auto"/>
              </w:rPr>
            </w:pPr>
          </w:p>
        </w:tc>
        <w:tc>
          <w:tcPr>
            <w:tcW w:w="138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(138</w:t>
            </w:r>
          </w:p>
        </w:tc>
        <w:tc>
          <w:tcPr>
            <w:tcW w:w="6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2E3E4"/>
              </w:rPr>
              <w:t>)</w:t>
            </w:r>
          </w:p>
        </w:tc>
        <w:tc>
          <w:tcPr>
            <w:tcW w:w="180" w:type="dxa"/>
            <w:vAlign w:val="bottom"/>
            <w:tcBorders>
              <w:bottom w:val="single" w:sz="8" w:color="E2E3E4"/>
            </w:tcBorders>
            <w:shd w:val="clear" w:color="auto" w:fill="E2E3E4"/>
          </w:tcPr>
          <w:p>
            <w:pPr>
              <w:spacing w:after="0"/>
              <w:rPr>
                <w:sz w:val="20"/>
                <w:szCs w:val="20"/>
                <w:color w:val="auto"/>
              </w:rPr>
            </w:pPr>
          </w:p>
        </w:tc>
        <w:tc>
          <w:tcPr>
            <w:tcW w:w="340" w:type="dxa"/>
            <w:vAlign w:val="bottom"/>
            <w:tcBorders>
              <w:bottom w:val="single" w:sz="8" w:color="231F20"/>
            </w:tcBorders>
            <w:shd w:val="clear" w:color="auto" w:fill="E2E3E4"/>
          </w:tcPr>
          <w:p>
            <w:pPr>
              <w:spacing w:after="0"/>
              <w:rPr>
                <w:sz w:val="20"/>
                <w:szCs w:val="20"/>
                <w:color w:val="auto"/>
              </w:rPr>
            </w:pPr>
          </w:p>
        </w:tc>
        <w:tc>
          <w:tcPr>
            <w:tcW w:w="11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(95</w:t>
            </w:r>
          </w:p>
        </w:tc>
        <w:tc>
          <w:tcPr>
            <w:tcW w:w="10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193"/>
        </w:trPr>
        <w:tc>
          <w:tcPr>
            <w:tcW w:w="554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231F20"/>
              </w:rPr>
              <w:t>Net increase in cash, cash equivalents and restricted cash</w:t>
            </w:r>
          </w:p>
        </w:tc>
        <w:tc>
          <w:tcPr>
            <w:tcW w:w="10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231F20"/>
              </w:rPr>
              <w:t>300,036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231F20"/>
              </w:rPr>
              <w:t>101,788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231F20"/>
              </w:rPr>
              <w:t>111,893</w:t>
            </w:r>
          </w:p>
        </w:tc>
        <w:tc>
          <w:tcPr>
            <w:tcW w:w="100" w:type="dxa"/>
            <w:vAlign w:val="bottom"/>
          </w:tcPr>
          <w:p>
            <w:pPr>
              <w:spacing w:after="0"/>
              <w:rPr>
                <w:sz w:val="16"/>
                <w:szCs w:val="16"/>
                <w:color w:val="auto"/>
              </w:rPr>
            </w:pPr>
          </w:p>
        </w:tc>
      </w:tr>
      <w:tr>
        <w:trPr>
          <w:trHeight w:val="246"/>
        </w:trPr>
        <w:tc>
          <w:tcPr>
            <w:tcW w:w="5370" w:type="dxa"/>
            <w:vAlign w:val="bottom"/>
            <w:tcBorders>
              <w:bottom w:val="single" w:sz="8" w:color="E2E3E4"/>
            </w:tcBorders>
            <w:shd w:val="clear" w:color="auto" w:fill="E2E3E4"/>
          </w:tcPr>
          <w:p>
            <w:pPr>
              <w:spacing w:after="0"/>
              <w:rPr>
                <w:sz w:val="20"/>
                <w:szCs w:val="20"/>
                <w:color w:val="auto"/>
              </w:rPr>
            </w:pPr>
            <w:r>
              <w:rPr>
                <w:rFonts w:ascii="Times New Roman" w:cs="Times New Roman" w:eastAsia="Times New Roman" w:hAnsi="Times New Roman"/>
                <w:sz w:val="18"/>
                <w:szCs w:val="18"/>
                <w:color w:val="231F20"/>
              </w:rPr>
              <w:t>Cash, cash equivalents and restricted cash, beginning of period</w:t>
            </w:r>
          </w:p>
        </w:tc>
        <w:tc>
          <w:tcPr>
            <w:tcW w:w="170" w:type="dxa"/>
            <w:vAlign w:val="bottom"/>
            <w:tcBorders>
              <w:bottom w:val="single" w:sz="8" w:color="E2E3E4"/>
            </w:tcBorders>
            <w:shd w:val="clear" w:color="auto" w:fill="E2E3E4"/>
          </w:tcPr>
          <w:p>
            <w:pPr>
              <w:spacing w:after="0"/>
              <w:rPr>
                <w:sz w:val="21"/>
                <w:szCs w:val="21"/>
                <w:color w:val="auto"/>
              </w:rPr>
            </w:pPr>
          </w:p>
        </w:tc>
        <w:tc>
          <w:tcPr>
            <w:tcW w:w="100" w:type="dxa"/>
            <w:vAlign w:val="bottom"/>
            <w:tcBorders>
              <w:bottom w:val="single" w:sz="8" w:color="231F20"/>
            </w:tcBorders>
            <w:shd w:val="clear" w:color="auto" w:fill="E2E3E4"/>
          </w:tcPr>
          <w:p>
            <w:pPr>
              <w:spacing w:after="0"/>
              <w:rPr>
                <w:sz w:val="21"/>
                <w:szCs w:val="21"/>
                <w:color w:val="auto"/>
              </w:rPr>
            </w:pPr>
          </w:p>
        </w:tc>
        <w:tc>
          <w:tcPr>
            <w:tcW w:w="136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305,838</w:t>
            </w:r>
          </w:p>
        </w:tc>
        <w:tc>
          <w:tcPr>
            <w:tcW w:w="60" w:type="dxa"/>
            <w:vAlign w:val="bottom"/>
            <w:tcBorders>
              <w:bottom w:val="single" w:sz="8" w:color="E2E3E4"/>
            </w:tcBorders>
            <w:shd w:val="clear" w:color="auto" w:fill="E2E3E4"/>
          </w:tcPr>
          <w:p>
            <w:pPr>
              <w:spacing w:after="0"/>
              <w:rPr>
                <w:sz w:val="21"/>
                <w:szCs w:val="21"/>
                <w:color w:val="auto"/>
              </w:rPr>
            </w:pPr>
          </w:p>
        </w:tc>
        <w:tc>
          <w:tcPr>
            <w:tcW w:w="180" w:type="dxa"/>
            <w:vAlign w:val="bottom"/>
            <w:tcBorders>
              <w:bottom w:val="single" w:sz="8" w:color="E2E3E4"/>
            </w:tcBorders>
            <w:shd w:val="clear" w:color="auto" w:fill="E2E3E4"/>
          </w:tcPr>
          <w:p>
            <w:pPr>
              <w:spacing w:after="0"/>
              <w:rPr>
                <w:sz w:val="21"/>
                <w:szCs w:val="21"/>
                <w:color w:val="auto"/>
              </w:rPr>
            </w:pPr>
          </w:p>
        </w:tc>
        <w:tc>
          <w:tcPr>
            <w:tcW w:w="80" w:type="dxa"/>
            <w:vAlign w:val="bottom"/>
            <w:tcBorders>
              <w:bottom w:val="single" w:sz="8" w:color="231F20"/>
            </w:tcBorders>
            <w:shd w:val="clear" w:color="auto" w:fill="E2E3E4"/>
          </w:tcPr>
          <w:p>
            <w:pPr>
              <w:spacing w:after="0"/>
              <w:rPr>
                <w:sz w:val="21"/>
                <w:szCs w:val="21"/>
                <w:color w:val="auto"/>
              </w:rPr>
            </w:pPr>
          </w:p>
        </w:tc>
        <w:tc>
          <w:tcPr>
            <w:tcW w:w="1380" w:type="dxa"/>
            <w:vAlign w:val="bottom"/>
            <w:tcBorders>
              <w:bottom w:val="single" w:sz="8" w:color="231F20"/>
              <w:right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204,050</w:t>
            </w:r>
          </w:p>
        </w:tc>
        <w:tc>
          <w:tcPr>
            <w:tcW w:w="60" w:type="dxa"/>
            <w:vAlign w:val="bottom"/>
            <w:tcBorders>
              <w:bottom w:val="single" w:sz="8" w:color="E2E3E4"/>
            </w:tcBorders>
            <w:shd w:val="clear" w:color="auto" w:fill="E2E3E4"/>
          </w:tcPr>
          <w:p>
            <w:pPr>
              <w:spacing w:after="0"/>
              <w:rPr>
                <w:sz w:val="21"/>
                <w:szCs w:val="21"/>
                <w:color w:val="auto"/>
              </w:rPr>
            </w:pPr>
          </w:p>
        </w:tc>
        <w:tc>
          <w:tcPr>
            <w:tcW w:w="180" w:type="dxa"/>
            <w:vAlign w:val="bottom"/>
            <w:tcBorders>
              <w:bottom w:val="single" w:sz="8" w:color="E2E3E4"/>
            </w:tcBorders>
            <w:shd w:val="clear" w:color="auto" w:fill="E2E3E4"/>
          </w:tcPr>
          <w:p>
            <w:pPr>
              <w:spacing w:after="0"/>
              <w:rPr>
                <w:sz w:val="21"/>
                <w:szCs w:val="21"/>
                <w:color w:val="auto"/>
              </w:rPr>
            </w:pPr>
          </w:p>
        </w:tc>
        <w:tc>
          <w:tcPr>
            <w:tcW w:w="340" w:type="dxa"/>
            <w:vAlign w:val="bottom"/>
            <w:tcBorders>
              <w:bottom w:val="single" w:sz="8" w:color="231F20"/>
            </w:tcBorders>
            <w:shd w:val="clear" w:color="auto" w:fill="E2E3E4"/>
          </w:tcPr>
          <w:p>
            <w:pPr>
              <w:spacing w:after="0"/>
              <w:rPr>
                <w:sz w:val="21"/>
                <w:szCs w:val="21"/>
                <w:color w:val="auto"/>
              </w:rPr>
            </w:pPr>
          </w:p>
        </w:tc>
        <w:tc>
          <w:tcPr>
            <w:tcW w:w="11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8"/>
                <w:szCs w:val="18"/>
                <w:color w:val="231F20"/>
              </w:rPr>
              <w:t>92,157</w:t>
            </w:r>
          </w:p>
        </w:tc>
        <w:tc>
          <w:tcPr>
            <w:tcW w:w="100" w:type="dxa"/>
            <w:vAlign w:val="bottom"/>
            <w:tcBorders>
              <w:bottom w:val="single" w:sz="8" w:color="E2E3E4"/>
            </w:tcBorders>
            <w:shd w:val="clear" w:color="auto" w:fill="E2E3E4"/>
          </w:tcPr>
          <w:p>
            <w:pPr>
              <w:spacing w:after="0"/>
              <w:rPr>
                <w:sz w:val="21"/>
                <w:szCs w:val="21"/>
                <w:color w:val="auto"/>
              </w:rPr>
            </w:pPr>
          </w:p>
        </w:tc>
      </w:tr>
      <w:tr>
        <w:trPr>
          <w:trHeight w:val="235"/>
        </w:trPr>
        <w:tc>
          <w:tcPr>
            <w:tcW w:w="5540" w:type="dxa"/>
            <w:vAlign w:val="bottom"/>
            <w:tcBorders>
              <w:bottom w:val="single" w:sz="8" w:color="E2E3E4"/>
            </w:tcBorders>
            <w:gridSpan w:val="2"/>
          </w:tcPr>
          <w:p>
            <w:pPr>
              <w:spacing w:after="0" w:line="195" w:lineRule="exact"/>
              <w:rPr>
                <w:sz w:val="20"/>
                <w:szCs w:val="20"/>
                <w:color w:val="auto"/>
              </w:rPr>
            </w:pPr>
            <w:r>
              <w:rPr>
                <w:rFonts w:ascii="Times New Roman" w:cs="Times New Roman" w:eastAsia="Times New Roman" w:hAnsi="Times New Roman"/>
                <w:sz w:val="18"/>
                <w:szCs w:val="18"/>
                <w:color w:val="231F20"/>
              </w:rPr>
              <w:t>Cash, cash equivalents and restricted cash, end of period</w:t>
            </w: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6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18"/>
                <w:szCs w:val="18"/>
                <w:color w:val="231F20"/>
              </w:rPr>
              <w:t>605,874</w:t>
            </w:r>
          </w:p>
        </w:tc>
        <w:tc>
          <w:tcPr>
            <w:tcW w:w="60" w:type="dxa"/>
            <w:vAlign w:val="bottom"/>
            <w:tcBorders>
              <w:bottom w:val="single" w:sz="8" w:color="E2E3E4"/>
            </w:tcBorders>
          </w:tcPr>
          <w:p>
            <w:pPr>
              <w:spacing w:after="0"/>
              <w:rPr>
                <w:sz w:val="20"/>
                <w:szCs w:val="20"/>
                <w:color w:val="auto"/>
              </w:rPr>
            </w:pPr>
          </w:p>
        </w:tc>
        <w:tc>
          <w:tcPr>
            <w:tcW w:w="180" w:type="dxa"/>
            <w:vAlign w:val="bottom"/>
            <w:tcBorders>
              <w:bottom w:val="single" w:sz="8" w:color="E2E3E4"/>
            </w:tcBorders>
          </w:tcPr>
          <w:p>
            <w:pPr>
              <w:spacing w:after="0"/>
              <w:rPr>
                <w:sz w:val="20"/>
                <w:szCs w:val="20"/>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8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18"/>
                <w:szCs w:val="18"/>
                <w:color w:val="231F20"/>
              </w:rPr>
              <w:t>305,838</w:t>
            </w:r>
          </w:p>
        </w:tc>
        <w:tc>
          <w:tcPr>
            <w:tcW w:w="60" w:type="dxa"/>
            <w:vAlign w:val="bottom"/>
            <w:tcBorders>
              <w:bottom w:val="single" w:sz="8" w:color="E2E3E4"/>
            </w:tcBorders>
          </w:tcPr>
          <w:p>
            <w:pPr>
              <w:spacing w:after="0"/>
              <w:rPr>
                <w:sz w:val="20"/>
                <w:szCs w:val="20"/>
                <w:color w:val="auto"/>
              </w:rPr>
            </w:pPr>
          </w:p>
        </w:tc>
        <w:tc>
          <w:tcPr>
            <w:tcW w:w="180" w:type="dxa"/>
            <w:vAlign w:val="bottom"/>
            <w:tcBorders>
              <w:bottom w:val="single" w:sz="8" w:color="E2E3E4"/>
            </w:tcBorders>
          </w:tcPr>
          <w:p>
            <w:pPr>
              <w:spacing w:after="0"/>
              <w:rPr>
                <w:sz w:val="20"/>
                <w:szCs w:val="20"/>
                <w:color w:val="auto"/>
              </w:rPr>
            </w:pPr>
          </w:p>
        </w:tc>
        <w:tc>
          <w:tcPr>
            <w:tcW w:w="340" w:type="dxa"/>
            <w:vAlign w:val="bottom"/>
            <w:tcBorders>
              <w:bottom w:val="single" w:sz="8" w:color="231F20"/>
            </w:tcBorders>
          </w:tcPr>
          <w:p>
            <w:pPr>
              <w:jc w:val="right"/>
              <w:ind w:right="173"/>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18"/>
                <w:szCs w:val="18"/>
                <w:color w:val="231F20"/>
              </w:rPr>
              <w:t>204,050</w:t>
            </w:r>
          </w:p>
        </w:tc>
        <w:tc>
          <w:tcPr>
            <w:tcW w:w="100" w:type="dxa"/>
            <w:vAlign w:val="bottom"/>
            <w:tcBorders>
              <w:bottom w:val="single" w:sz="8" w:color="E2E3E4"/>
            </w:tcBorders>
          </w:tcPr>
          <w:p>
            <w:pPr>
              <w:spacing w:after="0"/>
              <w:rPr>
                <w:sz w:val="20"/>
                <w:szCs w:val="20"/>
                <w:color w:val="auto"/>
              </w:rPr>
            </w:pPr>
          </w:p>
        </w:tc>
      </w:tr>
      <w:tr>
        <w:trPr>
          <w:trHeight w:val="210"/>
        </w:trPr>
        <w:tc>
          <w:tcPr>
            <w:tcW w:w="5370" w:type="dxa"/>
            <w:vAlign w:val="bottom"/>
            <w:shd w:val="clear" w:color="auto" w:fill="E2E3E4"/>
          </w:tcPr>
          <w:p>
            <w:pPr>
              <w:spacing w:after="0"/>
              <w:rPr>
                <w:sz w:val="20"/>
                <w:szCs w:val="20"/>
                <w:color w:val="auto"/>
              </w:rPr>
            </w:pPr>
            <w:r>
              <w:rPr>
                <w:rFonts w:ascii="Times New Roman" w:cs="Times New Roman" w:eastAsia="Times New Roman" w:hAnsi="Times New Roman"/>
                <w:sz w:val="18"/>
                <w:szCs w:val="18"/>
                <w:b w:val="1"/>
                <w:bCs w:val="1"/>
                <w:color w:val="231F20"/>
              </w:rPr>
              <w:t>Supplemental disclosure of cash flow information:</w:t>
            </w:r>
          </w:p>
        </w:tc>
        <w:tc>
          <w:tcPr>
            <w:tcW w:w="17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60" w:type="dxa"/>
            <w:vAlign w:val="bottom"/>
            <w:tcBorders>
              <w:right w:val="single" w:sz="8" w:color="E2E3E4"/>
            </w:tcBorders>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380" w:type="dxa"/>
            <w:vAlign w:val="bottom"/>
            <w:tcBorders>
              <w:right w:val="single" w:sz="8" w:color="E2E3E4"/>
            </w:tcBorders>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110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r>
      <w:tr>
        <w:trPr>
          <w:trHeight w:val="24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Offering costs in accounts payable at period end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231F20"/>
              </w:rPr>
              <w:t>—</w:t>
            </w:r>
          </w:p>
        </w:tc>
        <w:tc>
          <w:tcPr>
            <w:tcW w:w="52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-5179060</wp:posOffset>
                </wp:positionV>
                <wp:extent cx="66516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7.7999pt" to="523.75pt,-407.7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4428490</wp:posOffset>
                </wp:positionH>
                <wp:positionV relativeFrom="paragraph">
                  <wp:posOffset>-4031615</wp:posOffset>
                </wp:positionV>
                <wp:extent cx="16573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pt,-317.4499pt" to="361.75pt,-317.44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5506085</wp:posOffset>
                </wp:positionH>
                <wp:positionV relativeFrom="paragraph">
                  <wp:posOffset>-4031615</wp:posOffset>
                </wp:positionV>
                <wp:extent cx="16573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5pt,-317.4499pt" to="446.6pt,-317.44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-3734435</wp:posOffset>
                </wp:positionV>
                <wp:extent cx="66516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4.0499pt" to="523.75pt,-294.0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4428490</wp:posOffset>
                </wp:positionH>
                <wp:positionV relativeFrom="paragraph">
                  <wp:posOffset>-3440430</wp:posOffset>
                </wp:positionV>
                <wp:extent cx="16573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pt,-270.8999pt" to="361.75pt,-270.8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5506085</wp:posOffset>
                </wp:positionH>
                <wp:positionV relativeFrom="paragraph">
                  <wp:posOffset>-3440430</wp:posOffset>
                </wp:positionV>
                <wp:extent cx="16573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5pt,-270.8999pt" to="446.6pt,-270.8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3515995</wp:posOffset>
                </wp:positionH>
                <wp:positionV relativeFrom="paragraph">
                  <wp:posOffset>-1057275</wp:posOffset>
                </wp:positionV>
                <wp:extent cx="91249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249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85pt,-83.2499pt" to="348.7pt,-83.2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4428490</wp:posOffset>
                </wp:positionH>
                <wp:positionV relativeFrom="paragraph">
                  <wp:posOffset>-1060450</wp:posOffset>
                </wp:positionV>
                <wp:extent cx="16573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pt,-83.4999pt" to="361.75pt,-83.4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4594225</wp:posOffset>
                </wp:positionH>
                <wp:positionV relativeFrom="paragraph">
                  <wp:posOffset>-1057275</wp:posOffset>
                </wp:positionV>
                <wp:extent cx="91186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186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75pt,-83.2499pt" to="433.55pt,-83.2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5506085</wp:posOffset>
                </wp:positionH>
                <wp:positionV relativeFrom="paragraph">
                  <wp:posOffset>-1060450</wp:posOffset>
                </wp:positionV>
                <wp:extent cx="16573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5pt,-83.4999pt" to="446.6pt,-83.4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5671820</wp:posOffset>
                </wp:positionH>
                <wp:positionV relativeFrom="paragraph">
                  <wp:posOffset>-1057275</wp:posOffset>
                </wp:positionV>
                <wp:extent cx="91313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313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6pt,-83.2499pt" to="518.5pt,-83.2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4428490</wp:posOffset>
                </wp:positionH>
                <wp:positionV relativeFrom="paragraph">
                  <wp:posOffset>-760730</wp:posOffset>
                </wp:positionV>
                <wp:extent cx="16573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pt,-59.8999pt" to="361.75pt,-59.8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5506085</wp:posOffset>
                </wp:positionH>
                <wp:positionV relativeFrom="paragraph">
                  <wp:posOffset>-760730</wp:posOffset>
                </wp:positionV>
                <wp:extent cx="16573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5pt,-59.8999pt" to="446.6pt,-59.8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4428490</wp:posOffset>
                </wp:positionH>
                <wp:positionV relativeFrom="paragraph">
                  <wp:posOffset>-469265</wp:posOffset>
                </wp:positionV>
                <wp:extent cx="16573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pt,-36.9499pt" to="361.75pt,-36.94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5506085</wp:posOffset>
                </wp:positionH>
                <wp:positionV relativeFrom="paragraph">
                  <wp:posOffset>-469265</wp:posOffset>
                </wp:positionV>
                <wp:extent cx="16573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5pt,-36.9499pt" to="446.6pt,-36.9499pt" o:allowincell="f" strokecolor="#FFFFFF" strokeweight="1.1639pt"/>
            </w:pict>
          </mc:Fallback>
        </mc:AlternateConten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231F20"/>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F-6</w:t>
      </w:r>
    </w:p>
    <w:p>
      <w:pPr>
        <w:sectPr>
          <w:pgSz w:w="11880" w:h="15480" w:orient="portrait"/>
          <w:cols w:equalWidth="0" w:num="1">
            <w:col w:w="10480"/>
          </w:cols>
          <w:pgMar w:left="700" w:top="961" w:right="700" w:bottom="213"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Wave Life Sciences Ltd.</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Notes to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 THE COMPANY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Organization</w:t>
      </w:r>
    </w:p>
    <w:p>
      <w:pPr>
        <w:spacing w:after="0" w:line="11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231F20"/>
        </w:rPr>
        <w:t>Wave Life Sciences Ltd. (together with its subsidiaries, “Wave” or the “Company”) is a clinical- 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19"/>
          <w:szCs w:val="19"/>
          <w:color w:val="231F20"/>
        </w:rPr>
        <w:t>, combines multiple modalities, chemistry innovation and deep insights into human genetics to deliver scientific breakthroughs that treat both rare and common disorders. Our toolkit of RNA-targeting modalities, including RNAi silencing (SpiNA) and RNA editing (AIMers), provides us with unmatched capabilities for designing and sustainably delivering candidates that optimally address disease biology. Our pipeline is focused on our obesity (WVE-007), alpha-1 antitrypsin deficiency (“AATD”) (WVE-006) and PNPLA3 I148M liver disease (WVE-008) programs, and also includes clinical programs for Duchenne muscular dystrophy (“DMD”) and Huntington’s disease (“HD”), as well as several preclinical programs utilizing our versatile RNA medicines platform.</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231F20"/>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Times New Roman" w:cs="Times New Roman" w:eastAsia="Times New Roman" w:hAnsi="Times New Roman"/>
          <w:sz w:val="19"/>
          <w:szCs w:val="19"/>
          <w:b w:val="1"/>
          <w:bCs w:val="1"/>
          <w:color w:val="231F20"/>
        </w:rPr>
        <w:t>-</w:t>
      </w:r>
      <w:r>
        <w:rPr>
          <w:rFonts w:ascii="Times New Roman" w:cs="Times New Roman" w:eastAsia="Times New Roman" w:hAnsi="Times New Roman"/>
          <w:sz w:val="19"/>
          <w:szCs w:val="19"/>
          <w:color w:val="231F20"/>
        </w:rPr>
        <w:t>owned subsidiary of Wave Life Sciences Ltd. On April 3, 2017, Wave Life Sciences UK Limited (“Wave UK”) was formed as a wholly</w:t>
      </w:r>
      <w:r>
        <w:rPr>
          <w:rFonts w:ascii="Times New Roman" w:cs="Times New Roman" w:eastAsia="Times New Roman" w:hAnsi="Times New Roman"/>
          <w:sz w:val="19"/>
          <w:szCs w:val="19"/>
          <w:b w:val="1"/>
          <w:bCs w:val="1"/>
          <w:color w:val="231F20"/>
        </w:rPr>
        <w:t>-</w:t>
      </w:r>
      <w:r>
        <w:rPr>
          <w:rFonts w:ascii="Times New Roman" w:cs="Times New Roman" w:eastAsia="Times New Roman" w:hAnsi="Times New Roman"/>
          <w:sz w:val="19"/>
          <w:szCs w:val="19"/>
          <w:color w:val="231F20"/>
        </w:rPr>
        <w:t>owned subsidiary of Wave Life Sciences Ltd.</w:t>
      </w:r>
    </w:p>
    <w:p>
      <w:pPr>
        <w:spacing w:after="0" w:line="6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231F20"/>
        </w:rPr>
        <w:t>The Company’s primary activities have been developing and evolving PRISM to design, develop and commercialize RNA medicines, advancing the Company’s differentiated portfolio, building the Company’s research, development and manufacturing capabilities, advancing programs into the clinic, furthering clinical development of such clinical-stage programs, building the Company’s intellectual property, and assuring adequate capital to support these activities.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Liquidity</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Since its inception, the Company has not generated any product revenue and has incurred recurring operating losses. To date, the Company has primarily funded its operations through private placements of debt and equity securities, public and other registered offerings of its equity securities and collaborations with third parties. Until the Company can generate significant revenue from product sales, if ever, the Company expects to continue to finance operations through a combination of public or private equity or debt financings or other sources, which may include upfront and milestone payments from collaborations with third parties. Adequate additional financing may not be available to the Company on acceptable terms, or at all. The inability to raise capital as and when needed would have a negative impact on the Company’s financial condition and ability to pursue its business strategy.</w:t>
      </w:r>
    </w:p>
    <w:p>
      <w:pPr>
        <w:spacing w:after="0" w:line="7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As of December 31, 2025, the Company had cash and cash equivalents of $ 602.1 million. The Company expects that its existing cash and cash equivalents will be sufficient to fund its operations for at least the next twelve months from the issuance date of these financial statements. The Company has based this expectation on the best information available, however the Company may use its available capital resources sooner than it currently expects. If the Company’s anticipated operating results are not achieved in future periods, planned expenditures may need to be further reduced in order to extend the time period over which the then-available resources would be able to fund the Company’s operations. In addition, the Company may elect to raise additional funds before it needs them if the conditions for raising capital are favorable due to market conditions or strategic considerations, even if the Company expects it has sufficient funds for its current or future operating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F-7</w:t>
      </w:r>
    </w:p>
    <w:p>
      <w:pPr>
        <w:sectPr>
          <w:pgSz w:w="11880" w:h="15480" w:orient="portrait"/>
          <w:cols w:equalWidth="0" w:num="1">
            <w:col w:w="10460"/>
          </w:cols>
          <w:pgMar w:left="700" w:top="961" w:right="720" w:bottom="213"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9"/>
          <w:szCs w:val="19"/>
          <w:b w:val="1"/>
          <w:bCs w:val="1"/>
          <w:i w:val="1"/>
          <w:iCs w:val="1"/>
          <w:color w:val="231F20"/>
        </w:rPr>
        <w:t>Risks and Uncertainties</w:t>
      </w:r>
    </w:p>
    <w:p>
      <w:pPr>
        <w:spacing w:after="0" w:line="1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The Company is subject to risks common to companies in the biotechnology industry including, but not limited to, new technological innovations, protection of proprietary technology, maintaining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efforts will be successful,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Basis of Presentation</w:t>
      </w:r>
    </w:p>
    <w:p>
      <w:pPr>
        <w:spacing w:after="0" w:line="117"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9"/>
          <w:szCs w:val="19"/>
          <w:color w:val="231F20"/>
        </w:rPr>
        <w:t>The Company has prepared the accompanying consolidated financial statements in conformity with generally accepted accounting principles in the United States (“U.S. GAAP”) and in U.S. dollars.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 SIGNIFICANT ACCOUNTING POLICIES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Cash and Cash Equivalents</w:t>
      </w:r>
    </w:p>
    <w:p>
      <w:pPr>
        <w:spacing w:after="0" w:line="119"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9"/>
          <w:szCs w:val="19"/>
          <w:color w:val="231F20"/>
        </w:rPr>
        <w:t>The Company considers all highly liquid securities with maturities of three months or less from the date of purchase to be cash equivalents. The Company's cash and cash equivalents are comprised of funds held in checking and money market accounts.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Principles of Consolidation</w:t>
      </w:r>
    </w:p>
    <w:p>
      <w:pPr>
        <w:spacing w:after="0" w:line="119"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9"/>
          <w:szCs w:val="19"/>
          <w:color w:val="231F20"/>
        </w:rPr>
        <w:t>The Company’s consolidated financial statements include the accounts of the Company and its wholly-owned subsidiaries. All intercompany balances and transactions have been eliminated in consolidation.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Use of Estimates</w:t>
      </w:r>
    </w:p>
    <w:p>
      <w:pPr>
        <w:spacing w:after="0" w:line="11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9"/>
          <w:szCs w:val="19"/>
          <w:color w:val="231F20"/>
        </w:rPr>
        <w:t>The Company’s consolidated financial statements are prepared in accordance with U.S. GAAP. The preparation of the Company’s financial statements and related disclosures requires the Company to make estimates and assumptions that affect the reported amount of assets, liabilities, revenue, costs and expenses and related disclosures. Management considers many factors in selecting appropriate financial accounting policies and in developing the estimates and assumptions that are used in the preparation of the financial statements. Management must apply significant judgment in this process. The Company believes that its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the Company’s analysis of contracts with contract research organizations (“CROs”) and contract manufacturing organizations (“CMOs”) to estimate the contract expense, involve a greater degree of judgment, and therefore the Company considers them to be its critical accounting policies. The Company evaluates its estimates and assumptions on an ongoing basis. The Company’s actual results may differ from these estimates under different assumptions and conditions.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Segment Data</w:t>
      </w:r>
    </w:p>
    <w:p>
      <w:pPr>
        <w:spacing w:after="0" w:line="10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231F20"/>
        </w:rPr>
        <w:t>The Company manages its operations as a single reportable and operating segment for the purposes of assessing performance and making operating decisions. The Company’s focus is on developing its proprietary RNA medicines platform, PRISM, to develop and commercialize a broad pipeline of RNA medicines in a variety of therapeutic areas. This operating structure enables the Chief Executive Officer ("CEO") as chief operating decision maker ("CODM"), to allocate resources and assess business performance in order to achieve established long-term strategic goals. The determination of a single segment is consistent with the consolidated financial information regularly reviewed by the CODM for purposes of assessing performance, allocating resources and planning, monitoring budget versus actual results, and forecasting future periods. Within the single segment, there are significant expenses that are regularly considered by the CODM which are used in the review for performance and resource allocation. See Note 14 for additional disclosure of our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F-8</w:t>
      </w:r>
    </w:p>
    <w:p>
      <w:pPr>
        <w:sectPr>
          <w:pgSz w:w="11880" w:h="15480" w:orient="portrait"/>
          <w:cols w:equalWidth="0" w:num="1">
            <w:col w:w="10440"/>
          </w:cols>
          <w:pgMar w:left="700" w:top="965" w:right="740" w:bottom="213"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b w:val="1"/>
          <w:bCs w:val="1"/>
          <w:i w:val="1"/>
          <w:iCs w:val="1"/>
          <w:color w:val="231F20"/>
        </w:rPr>
        <w:t>Going Concern</w:t>
      </w:r>
    </w:p>
    <w:p>
      <w:pPr>
        <w:spacing w:after="0" w:line="10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231F20"/>
        </w:rPr>
        <w:t>At each reporting period, the Company evaluates whether there are conditions or events that raise substantial doubt about the Company’s ability to continue as a going concern within one year after the date that the financial statements are issued. The Company is required to make certain additional disclosures if the Company concludes substantial doubt exists and it is not alleviated by the Company’s plans or when the Company’s plans alleviate substantial doubt about the Company’s ability to continue as a going concern. The Company’s evaluation entails analyzing prospective operating budgets and forecasts for expectations of the Company’s cash needs and comparing those needs to the current cash and cash equivalent balance.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Foreign Currency Translation</w:t>
      </w:r>
    </w:p>
    <w:p>
      <w:pPr>
        <w:spacing w:after="0" w:line="11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9"/>
          <w:szCs w:val="19"/>
          <w:color w:val="231F20"/>
        </w:rPr>
        <w:t>The functional currency is the U.S. dollar for all of the Company’s entities aside from Wave Japan, which has the Japanese Yen as its functional currency. Assets and liabilities of Wave Japan are translated at period end exchange rates while revenues and expenses of Wave Japan are translated at average exchange rates for the period. Net unrealized gains and losses from foreign currency translation are reflected as other comprehensive income (loss) within the consolidated statements of Series A preferred shares and shareholders’ equity (deficit) and the consolidated statements of operations and comprehensive loss. Gains and losses on foreign currency transactions are included in the consolidated statements of operations and comprehensive loss within other income, net.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Fair Value of Financial Instruments</w:t>
      </w:r>
    </w:p>
    <w:p>
      <w:pPr>
        <w:spacing w:after="0" w:line="11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231F20"/>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72" w:lineRule="exact"/>
        <w:rPr>
          <w:sz w:val="20"/>
          <w:szCs w:val="20"/>
          <w:color w:val="auto"/>
        </w:rPr>
      </w:pPr>
    </w:p>
    <w:p>
      <w:pPr>
        <w:ind w:left="480" w:right="540"/>
        <w:spacing w:after="0" w:line="278" w:lineRule="auto"/>
        <w:rPr>
          <w:sz w:val="20"/>
          <w:szCs w:val="20"/>
          <w:color w:val="auto"/>
        </w:rPr>
      </w:pPr>
      <w:r>
        <w:rPr>
          <w:rFonts w:ascii="Times New Roman" w:cs="Times New Roman" w:eastAsia="Times New Roman" w:hAnsi="Times New Roman"/>
          <w:sz w:val="19"/>
          <w:szCs w:val="19"/>
          <w:color w:val="231F20"/>
        </w:rPr>
        <w:t>Level 1—Unadjusted quoted prices in active markets that are accessible at the measurement date of identical, unrestricted assets.</w:t>
      </w:r>
    </w:p>
    <w:p>
      <w:pPr>
        <w:spacing w:after="0" w:line="36" w:lineRule="exact"/>
        <w:rPr>
          <w:sz w:val="20"/>
          <w:szCs w:val="20"/>
          <w:color w:val="auto"/>
        </w:rPr>
      </w:pPr>
    </w:p>
    <w:p>
      <w:pPr>
        <w:ind w:left="480" w:right="60"/>
        <w:spacing w:after="0" w:line="256" w:lineRule="auto"/>
        <w:rPr>
          <w:sz w:val="20"/>
          <w:szCs w:val="20"/>
          <w:color w:val="auto"/>
        </w:rPr>
      </w:pPr>
      <w:r>
        <w:rPr>
          <w:rFonts w:ascii="Times New Roman" w:cs="Times New Roman" w:eastAsia="Times New Roman" w:hAnsi="Times New Roman"/>
          <w:sz w:val="19"/>
          <w:szCs w:val="19"/>
          <w:color w:val="231F20"/>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60" w:lineRule="exact"/>
        <w:rPr>
          <w:sz w:val="20"/>
          <w:szCs w:val="20"/>
          <w:color w:val="auto"/>
        </w:rPr>
      </w:pPr>
    </w:p>
    <w:p>
      <w:pPr>
        <w:jc w:val="both"/>
        <w:ind w:left="480" w:right="220"/>
        <w:spacing w:after="0" w:line="256" w:lineRule="auto"/>
        <w:rPr>
          <w:sz w:val="20"/>
          <w:szCs w:val="20"/>
          <w:color w:val="auto"/>
        </w:rPr>
      </w:pPr>
      <w:r>
        <w:rPr>
          <w:rFonts w:ascii="Times New Roman" w:cs="Times New Roman" w:eastAsia="Times New Roman" w:hAnsi="Times New Roman"/>
          <w:sz w:val="19"/>
          <w:szCs w:val="19"/>
          <w:color w:val="231F20"/>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74"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9"/>
          <w:szCs w:val="19"/>
          <w:color w:val="231F20"/>
        </w:rPr>
        <w:t>Cash, cash equivalents and restricted cash are Level 1 assets which are comprised of funds held in checking and money market accounts. Cash, cash equivalents and restricted cash were recorded at fair value as of December 31, 2025 and 2024, totaling $605.9 million and $ 305.8 million, respectively. The carrying amounts of accounts payable and accrued expenses approximate their fair values due to their short-term maturities.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Concentration of Credit Risk</w:t>
      </w:r>
    </w:p>
    <w:p>
      <w:pPr>
        <w:spacing w:after="0" w:line="11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231F20"/>
        </w:rPr>
        <w:t>Cash, cash equivalents, restricted cash and short-term investments are financial instruments that potentially subject the Company to concentration of credit risk. The Company uses several financial institutions to maintain its cash, cash equivalents, restricted cash and short-term investments, all of which are high quality, accredited financial institutions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Restricted Cash</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231F20"/>
        </w:rPr>
        <w:t>Restricted cash consists primarily of cash placed in separate restricted bank accounts as required under the terms of the Company’s lease agreements for its Cambridge, Massachusetts and Lexington, Massachusetts facilities (refer to Note 8). As of December 31, 2025 and 2024, the Company had $3.8 million of restricted cash, of which $2.8 million related to the Lexington facility, and $1.0 million related to the Cambridge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F-9</w:t>
      </w:r>
    </w:p>
    <w:p>
      <w:pPr>
        <w:sectPr>
          <w:pgSz w:w="11880" w:h="15480" w:orient="portrait"/>
          <w:cols w:equalWidth="0" w:num="1">
            <w:col w:w="10480"/>
          </w:cols>
          <w:pgMar w:left="700" w:top="958" w:right="700" w:bottom="213"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b w:val="1"/>
          <w:bCs w:val="1"/>
          <w:i w:val="1"/>
          <w:iCs w:val="1"/>
          <w:color w:val="231F20"/>
        </w:rPr>
        <w:t>Property and Equipment</w:t>
      </w:r>
    </w:p>
    <w:p>
      <w:pPr>
        <w:spacing w:after="0" w:line="11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9"/>
          <w:szCs w:val="19"/>
          <w:color w:val="231F20"/>
        </w:rPr>
        <w:t>Property and equipment, which consists primarily of equipment, furniture, software and leasehold improvements, are stated at cost less accumulated depreciation. Depreciation is calculated on a straight-line basis over the following estimated useful lives of the assets:</w:t>
      </w:r>
    </w:p>
    <w:p>
      <w:pPr>
        <w:sectPr>
          <w:pgSz w:w="11880" w:h="15480" w:orient="portrait"/>
          <w:cols w:equalWidth="0" w:num="1">
            <w:col w:w="10480"/>
          </w:cols>
          <w:pgMar w:left="700" w:top="965" w:right="700" w:bottom="213" w:gutter="0" w:footer="0" w:header="0"/>
        </w:sectPr>
      </w:pPr>
    </w:p>
    <w:p>
      <w:pPr>
        <w:spacing w:after="0" w:line="165" w:lineRule="exact"/>
        <w:rPr>
          <w:sz w:val="20"/>
          <w:szCs w:val="20"/>
          <w:color w:val="auto"/>
        </w:rPr>
      </w:pPr>
    </w:p>
    <w:p>
      <w:pPr>
        <w:ind w:right="1920"/>
        <w:spacing w:after="0" w:line="289" w:lineRule="auto"/>
        <w:rPr>
          <w:sz w:val="20"/>
          <w:szCs w:val="20"/>
          <w:color w:val="auto"/>
        </w:rPr>
      </w:pPr>
      <w:r>
        <w:rPr>
          <w:rFonts w:ascii="Times New Roman" w:cs="Times New Roman" w:eastAsia="Times New Roman" w:hAnsi="Times New Roman"/>
          <w:sz w:val="19"/>
          <w:szCs w:val="19"/>
          <w:color w:val="231F20"/>
        </w:rPr>
        <w:t>Equipment, Furniture and Software Leasehold Improvements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3-7 years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Shorter of asset life or lease term</w:t>
      </w:r>
    </w:p>
    <w:p>
      <w:pPr>
        <w:spacing w:after="0" w:line="91" w:lineRule="exact"/>
        <w:rPr>
          <w:sz w:val="20"/>
          <w:szCs w:val="20"/>
          <w:color w:val="auto"/>
        </w:rPr>
      </w:pPr>
    </w:p>
    <w:p>
      <w:pPr>
        <w:sectPr>
          <w:pgSz w:w="11880" w:h="15480" w:orient="portrait"/>
          <w:cols w:equalWidth="0" w:num="2">
            <w:col w:w="4660" w:space="720"/>
            <w:col w:w="5100"/>
          </w:cols>
          <w:pgMar w:left="700" w:top="965" w:right="700" w:bottom="213" w:gutter="0" w:footer="0" w:header="0"/>
          <w:type w:val="continuous"/>
        </w:sectPr>
      </w:pPr>
    </w:p>
    <w:p>
      <w:pPr>
        <w:jc w:val="both"/>
        <w:ind w:right="380"/>
        <w:spacing w:after="0" w:line="267" w:lineRule="auto"/>
        <w:rPr>
          <w:sz w:val="20"/>
          <w:szCs w:val="20"/>
          <w:color w:val="auto"/>
        </w:rPr>
      </w:pPr>
      <w:r>
        <w:rPr>
          <w:rFonts w:ascii="Times New Roman" w:cs="Times New Roman" w:eastAsia="Times New Roman" w:hAnsi="Times New Roman"/>
          <w:sz w:val="19"/>
          <w:szCs w:val="19"/>
          <w:color w:val="231F20"/>
        </w:rPr>
        <w:t>Depreciation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 and comprehensive loss.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Impairment of Long-Lived Assets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231F20"/>
        </w:rPr>
        <w:t>Long-lived assets consist of property and equipment. Long- lived assets are reviewed for impairment whenever events or other changes in circumstances indicate that the carrying amount may not be recoverable. Certain factors may exist or events may occur that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7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231F20"/>
        </w:rPr>
        <w:t>When performing the impairment assessment for long- 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Revenue Recognition</w:t>
      </w:r>
    </w:p>
    <w:p>
      <w:pPr>
        <w:spacing w:after="0" w:line="11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9"/>
          <w:szCs w:val="19"/>
          <w:color w:val="231F20"/>
        </w:rPr>
        <w:t>The Company recognizes revenue in accordance with Accounting Standards Codification (“ASC”) Topic 606, Revenue from Contracts with Customers (“ASC 606”).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9"/>
          <w:szCs w:val="19"/>
          <w:color w:val="231F20"/>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allocated to a performance obligation, and the cumulative revenue associated with this consideration is not recognized until it is deemed not to be at significant risk of reversal.</w:t>
      </w:r>
    </w:p>
    <w:p>
      <w:pPr>
        <w:spacing w:after="0" w:line="7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F-10</w:t>
      </w:r>
    </w:p>
    <w:p>
      <w:pPr>
        <w:sectPr>
          <w:pgSz w:w="11880" w:h="15480" w:orient="portrait"/>
          <w:cols w:equalWidth="0" w:num="1">
            <w:col w:w="10480"/>
          </w:cols>
          <w:pgMar w:left="700" w:top="965" w:right="700" w:bottom="213" w:gutter="0" w:footer="0" w:header="0"/>
          <w:type w:val="continuous"/>
        </w:sectPr>
      </w:pPr>
    </w:p>
    <w:bookmarkStart w:id="114" w:name="page115"/>
    <w:bookmarkEnd w:id="114"/>
    <w:p>
      <w:pPr>
        <w:ind w:right="280"/>
        <w:spacing w:after="0" w:line="259" w:lineRule="auto"/>
        <w:rPr>
          <w:sz w:val="20"/>
          <w:szCs w:val="20"/>
          <w:color w:val="auto"/>
        </w:rPr>
      </w:pPr>
      <w:r>
        <w:rPr>
          <w:rFonts w:ascii="Times New Roman" w:cs="Times New Roman" w:eastAsia="Times New Roman" w:hAnsi="Times New Roman"/>
          <w:sz w:val="19"/>
          <w:szCs w:val="19"/>
          <w:color w:val="231F20"/>
        </w:rPr>
        <w:t>Amounts received prior to being recognized as revenue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8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i w:val="1"/>
          <w:iCs w:val="1"/>
          <w:color w:val="231F20"/>
        </w:rPr>
        <w:t xml:space="preserve">Licenses of intellectual property: </w:t>
      </w:r>
      <w:r>
        <w:rPr>
          <w:rFonts w:ascii="Times New Roman" w:cs="Times New Roman" w:eastAsia="Times New Roman" w:hAnsi="Times New Roman"/>
          <w:sz w:val="19"/>
          <w:szCs w:val="19"/>
          <w:color w:val="231F20"/>
        </w:rPr>
        <w:t>In assessing whether a promise or performance obligation is distinct from the other promises, the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Company considers 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9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i w:val="1"/>
          <w:iCs w:val="1"/>
          <w:color w:val="231F20"/>
        </w:rPr>
        <w:t>Research and development services</w:t>
      </w:r>
      <w:r>
        <w:rPr>
          <w:rFonts w:ascii="Times New Roman" w:cs="Times New Roman" w:eastAsia="Times New Roman" w:hAnsi="Times New Roman"/>
          <w:sz w:val="19"/>
          <w:szCs w:val="19"/>
          <w:color w:val="231F20"/>
        </w:rPr>
        <w:t>: If an arrangement is determined to contain a promise or obligation for the Company to perform</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research and development 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i w:val="1"/>
          <w:iCs w:val="1"/>
          <w:color w:val="231F20"/>
        </w:rPr>
        <w:t xml:space="preserve">Customer options: </w:t>
      </w:r>
      <w:r>
        <w:rPr>
          <w:rFonts w:ascii="Times New Roman" w:cs="Times New Roman" w:eastAsia="Times New Roman" w:hAnsi="Times New Roman"/>
          <w:sz w:val="19"/>
          <w:szCs w:val="19"/>
          <w:color w:val="231F20"/>
        </w:rPr>
        <w:t>If an arrangement is determined to contain customer options that allow the customer to acquire additional goods or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Amounts allocated to any material right are not recognized as revenue until the option is exercised and the performance obligation is satisfied.</w:t>
      </w:r>
    </w:p>
    <w:p>
      <w:pPr>
        <w:spacing w:after="0" w:line="18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9"/>
          <w:szCs w:val="19"/>
          <w:i w:val="1"/>
          <w:iCs w:val="1"/>
          <w:color w:val="231F20"/>
        </w:rPr>
        <w:t xml:space="preserve">Milestone payments: </w:t>
      </w:r>
      <w:r>
        <w:rPr>
          <w:rFonts w:ascii="Times New Roman" w:cs="Times New Roman" w:eastAsia="Times New Roman" w:hAnsi="Times New Roman"/>
          <w:sz w:val="19"/>
          <w:szCs w:val="19"/>
          <w:color w:val="231F20"/>
        </w:rPr>
        <w:t>At the inception of each arrangement that includes milestone payments, the Company evaluates whether a</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0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i w:val="1"/>
          <w:iCs w:val="1"/>
          <w:color w:val="231F20"/>
        </w:rPr>
        <w:t xml:space="preserve">Royalties: </w:t>
      </w:r>
      <w:r>
        <w:rPr>
          <w:rFonts w:ascii="Times New Roman" w:cs="Times New Roman" w:eastAsia="Times New Roman" w:hAnsi="Times New Roman"/>
          <w:sz w:val="19"/>
          <w:szCs w:val="19"/>
          <w:color w:val="231F20"/>
        </w:rPr>
        <w:t>For arrangements that include sales- based royalties, including milestone payments based on a level of sales, and the license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i w:val="1"/>
          <w:iCs w:val="1"/>
          <w:color w:val="231F20"/>
        </w:rPr>
        <w:t>Contract costs</w:t>
      </w:r>
      <w:r>
        <w:rPr>
          <w:rFonts w:ascii="Times New Roman" w:cs="Times New Roman" w:eastAsia="Times New Roman" w:hAnsi="Times New Roman"/>
          <w:sz w:val="19"/>
          <w:szCs w:val="19"/>
          <w:color w:val="231F20"/>
        </w:rPr>
        <w:t>: The Company recognizes as an asset the incremental costs of obtaining a contract with a customer if the costs are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expected to be recovered. 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F-11</w:t>
      </w:r>
    </w:p>
    <w:p>
      <w:pPr>
        <w:sectPr>
          <w:pgSz w:w="11880" w:h="15480" w:orient="portrait"/>
          <w:cols w:equalWidth="0" w:num="1">
            <w:col w:w="10440"/>
          </w:cols>
          <w:pgMar w:left="700" w:top="963" w:right="740" w:bottom="213"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9"/>
          <w:szCs w:val="19"/>
          <w:b w:val="1"/>
          <w:bCs w:val="1"/>
          <w:i w:val="1"/>
          <w:iCs w:val="1"/>
          <w:color w:val="231F20"/>
        </w:rPr>
        <w:t>Research and Development Expenses</w:t>
      </w:r>
    </w:p>
    <w:p>
      <w:pPr>
        <w:spacing w:after="0" w:line="117"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9"/>
          <w:szCs w:val="19"/>
          <w:color w:val="231F20"/>
        </w:rPr>
        <w:t>Research and development expenses are expensed as incurred. External development costs are recognized based on an evaluation of the progress to completion of specific tasks. Payments for these activities are based on the terms of the individual agreements, which may differ from the pattern of costs incurred, and are reflected in the accompanying consolidated balance sheets as prepaid or accrued expenses.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License Agreements and Patent Costs</w:t>
      </w:r>
    </w:p>
    <w:p>
      <w:pPr>
        <w:spacing w:after="0" w:line="11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9"/>
          <w:szCs w:val="19"/>
          <w:color w:val="231F20"/>
        </w:rPr>
        <w:t>Costs associated with licenses of technology and patent costs are expensed as incurred and are generally included in research and development expense in the consolidated statements of operations and comprehensive loss.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Refundable Tax Credits</w:t>
      </w:r>
    </w:p>
    <w:p>
      <w:pPr>
        <w:spacing w:after="0" w:line="1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231F20"/>
        </w:rPr>
        <w:t>The Company is eligible for refundable tax credits with tax authorities for certain qualified operating expenses. The Company recognizes refundable tax credits when there is reasonable assurance that the Company will comply with the requirements of the refundable tax credit and that the refundable tax credit will be received. Refundable tax credits are recorded as income and classified in other income, net in the consolidated statements of operations and comprehensive loss.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Net Loss per Share</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Basic net loss per share is computed using the weighted- average number of ordinary shares outstanding during the period. The outstanding Pre-Funded Warrants (as defined in Note 6) are included in the weighted-average number of ordinary shares outstanding used in the calculation of basic net loss per share as the exercise price is negligible and the warrants are fully vested and exercisable. Diluted net loss per share is computed using the sum of the weighted-average number of ordinary shares outstanding during the period and, if dilutive, the weighted- average number of potential ordinary shares, including the assumed exercise of share options and the assumed vesting of RSUs (as defined in Note 7). The Company’s Series A preferred shares do not entitle the holders of such shares to participate in dividends and do not contractually require the holders of such shares to participate in losses of the Company.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Share-Based Compensation</w:t>
      </w:r>
    </w:p>
    <w:p>
      <w:pPr>
        <w:spacing w:after="0" w:line="11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9"/>
          <w:szCs w:val="19"/>
          <w:color w:val="231F20"/>
        </w:rPr>
        <w:t>The Company measures and recognizes share-based compensation expense, for employees, consultants, and non -employee directors awards, based on the grant date fair value of the awards. The Company calculates the fair value of awards based on the grant date fair value of the underlying ordinary shares. The Company determines the fair value of share-based awards granted to non -employees as either the fair value of the consideration received or the fair value of the equity instruments issued, whichever is more reliably measurable. Equity instruments issued to consultants and non-employee directors as consideration for goods or services received by the Company have been accounted for based on the fair value of the equity instruments issued. The Company recognizes share-based compensation expense on a straight-line basis over the requisite service period of the awards, which is generally the vesting period. The Company accounts for forfeitures as they occur.</w:t>
      </w:r>
    </w:p>
    <w:p>
      <w:pPr>
        <w:spacing w:after="0" w:line="6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9"/>
          <w:szCs w:val="19"/>
          <w:color w:val="231F20"/>
        </w:rPr>
        <w:t>The Company classifies share-based compensation expense in its consolidated statements of operations and comprehensive loss in the same manner in which the award recipient’s compensation costs are classified or in which the award recipient’s service payments are classified.</w:t>
      </w:r>
    </w:p>
    <w:p>
      <w:pPr>
        <w:spacing w:after="0" w:line="60"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9"/>
          <w:szCs w:val="19"/>
          <w:color w:val="231F20"/>
        </w:rPr>
        <w:t>The fair value of each share option grant was determined using the methods and assumptions discussed below. These inputs are generally subjective and require significant judgment and estimation by management.</w:t>
      </w:r>
    </w:p>
    <w:p>
      <w:pPr>
        <w:spacing w:after="0" w:line="52" w:lineRule="exact"/>
        <w:rPr>
          <w:sz w:val="20"/>
          <w:szCs w:val="20"/>
          <w:color w:val="auto"/>
        </w:rPr>
      </w:pPr>
    </w:p>
    <w:p>
      <w:pPr>
        <w:ind w:left="940" w:right="320" w:hanging="465"/>
        <w:spacing w:after="0" w:line="255" w:lineRule="auto"/>
        <w:tabs>
          <w:tab w:leader="none" w:pos="940" w:val="left"/>
        </w:tabs>
        <w:numPr>
          <w:ilvl w:val="0"/>
          <w:numId w:val="54"/>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 xml:space="preserve">Fair Value of Ordinary Shares </w:t>
      </w:r>
      <w:r>
        <w:rPr>
          <w:rFonts w:ascii="Times New Roman" w:cs="Times New Roman" w:eastAsia="Times New Roman" w:hAnsi="Times New Roman"/>
          <w:sz w:val="19"/>
          <w:szCs w:val="19"/>
          <w:color w:val="231F20"/>
        </w:rPr>
        <w:t>The fair value of the ordinary shares underlying the Company’s share-based awards is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based on the closing price of the Company’s ordinary shares as reported by the Nasdaq Global Market on the date of grant.</w:t>
      </w:r>
    </w:p>
    <w:p>
      <w:pPr>
        <w:spacing w:after="0" w:line="73" w:lineRule="exact"/>
        <w:rPr>
          <w:rFonts w:ascii="Arial" w:cs="Arial" w:eastAsia="Arial" w:hAnsi="Arial"/>
          <w:sz w:val="19"/>
          <w:szCs w:val="19"/>
          <w:color w:val="231F20"/>
        </w:rPr>
      </w:pPr>
    </w:p>
    <w:p>
      <w:pPr>
        <w:jc w:val="both"/>
        <w:ind w:left="940" w:right="420" w:hanging="465"/>
        <w:spacing w:after="0" w:line="256" w:lineRule="auto"/>
        <w:tabs>
          <w:tab w:leader="none" w:pos="940" w:val="left"/>
        </w:tabs>
        <w:numPr>
          <w:ilvl w:val="0"/>
          <w:numId w:val="54"/>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 xml:space="preserve">Expected Term </w:t>
      </w:r>
      <w:r>
        <w:rPr>
          <w:rFonts w:ascii="Times New Roman" w:cs="Times New Roman" w:eastAsia="Times New Roman" w:hAnsi="Times New Roman"/>
          <w:sz w:val="19"/>
          <w:szCs w:val="19"/>
          <w:color w:val="231F20"/>
        </w:rPr>
        <w:t>The expected term of share options represents the weighted-average period that the share options are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expected to remain outstanding. The Company estimated the expected term using the simplified method, which is an average of the contractual term of the option and the vesting period.</w:t>
      </w:r>
    </w:p>
    <w:p>
      <w:pPr>
        <w:spacing w:after="0" w:line="72" w:lineRule="exact"/>
        <w:rPr>
          <w:rFonts w:ascii="Arial" w:cs="Arial" w:eastAsia="Arial" w:hAnsi="Arial"/>
          <w:sz w:val="19"/>
          <w:szCs w:val="19"/>
          <w:color w:val="231F20"/>
        </w:rPr>
      </w:pPr>
    </w:p>
    <w:p>
      <w:pPr>
        <w:ind w:left="940" w:right="80" w:hanging="465"/>
        <w:spacing w:after="0" w:line="243" w:lineRule="auto"/>
        <w:tabs>
          <w:tab w:leader="none" w:pos="940" w:val="left"/>
        </w:tabs>
        <w:numPr>
          <w:ilvl w:val="0"/>
          <w:numId w:val="54"/>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 xml:space="preserve">Expected Volatility </w:t>
      </w:r>
      <w:r>
        <w:rPr>
          <w:rFonts w:ascii="Times New Roman" w:cs="Times New Roman" w:eastAsia="Times New Roman" w:hAnsi="Times New Roman"/>
          <w:sz w:val="19"/>
          <w:szCs w:val="19"/>
          <w:color w:val="231F20"/>
        </w:rPr>
        <w:t>Since there was limited historical data for the Company’s ordinary shares and limited company-specific historical volatility through the third quarter of 2021, the Company determined the share price volatility for options granted based on an analysis of the volatility used by a peer group of publicly traded companies. In evaluating similarity, the Company considers factors such as industry, stage of life cycle and size. Beginning in the fourth quarter of 2021, the Company had sufficient historical volatility data for its ordinary shares and as such no longer relies on an analysis of the volatility from a peer group to calculate expected volatility.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F-12</w:t>
      </w:r>
    </w:p>
    <w:p>
      <w:pPr>
        <w:sectPr>
          <w:pgSz w:w="11880" w:h="15480" w:orient="portrait"/>
          <w:cols w:equalWidth="0" w:num="1">
            <w:col w:w="10440"/>
          </w:cols>
          <w:pgMar w:left="700" w:top="965" w:right="740" w:bottom="213" w:gutter="0" w:footer="0" w:header="0"/>
        </w:sectPr>
      </w:pPr>
    </w:p>
    <w:bookmarkStart w:id="116" w:name="page117"/>
    <w:bookmarkEnd w:id="116"/>
    <w:p>
      <w:pPr>
        <w:ind w:left="940" w:right="140" w:hanging="465"/>
        <w:spacing w:after="0" w:line="275" w:lineRule="auto"/>
        <w:tabs>
          <w:tab w:leader="none" w:pos="940" w:val="left"/>
        </w:tabs>
        <w:numPr>
          <w:ilvl w:val="0"/>
          <w:numId w:val="55"/>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 xml:space="preserve">Risk-free Interest Rate </w:t>
      </w:r>
      <w:r>
        <w:rPr>
          <w:rFonts w:ascii="Times New Roman" w:cs="Times New Roman" w:eastAsia="Times New Roman" w:hAnsi="Times New Roman"/>
          <w:sz w:val="19"/>
          <w:szCs w:val="19"/>
          <w:color w:val="231F20"/>
        </w:rPr>
        <w:t>The risk-free interest rate is based on the U.S. Treasury yield in effect at the time of the grant for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zero-coupon U.S. Treasury notes with remaining terms similar to the expected term of the options.</w:t>
      </w:r>
    </w:p>
    <w:p>
      <w:pPr>
        <w:spacing w:after="0" w:line="54" w:lineRule="exact"/>
        <w:rPr>
          <w:rFonts w:ascii="Arial" w:cs="Arial" w:eastAsia="Arial" w:hAnsi="Arial"/>
          <w:sz w:val="19"/>
          <w:szCs w:val="19"/>
          <w:color w:val="231F20"/>
        </w:rPr>
      </w:pPr>
    </w:p>
    <w:p>
      <w:pPr>
        <w:ind w:left="940" w:right="480" w:hanging="466"/>
        <w:spacing w:after="0" w:line="277" w:lineRule="auto"/>
        <w:tabs>
          <w:tab w:leader="none" w:pos="940" w:val="left"/>
        </w:tabs>
        <w:numPr>
          <w:ilvl w:val="0"/>
          <w:numId w:val="55"/>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 xml:space="preserve">Dividend Rate </w:t>
      </w:r>
      <w:r>
        <w:rPr>
          <w:rFonts w:ascii="Times New Roman" w:cs="Times New Roman" w:eastAsia="Times New Roman" w:hAnsi="Times New Roman"/>
          <w:sz w:val="19"/>
          <w:szCs w:val="19"/>
          <w:color w:val="231F20"/>
        </w:rPr>
        <w:t>The expected dividend was assumed to be zero as the Company has never paid dividends and has no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current plans to do so.</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Income Taxes</w:t>
      </w:r>
    </w:p>
    <w:p>
      <w:pPr>
        <w:spacing w:after="0" w:line="110"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9"/>
          <w:szCs w:val="19"/>
          <w:color w:val="231F20"/>
        </w:rPr>
        <w:t>The Company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6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231F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 authorities. If the tax position is deemed more-likely- 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uncertain tax positions in the income tax provision on the consolidated statements of operations and comprehensive loss.</w:t>
      </w:r>
    </w:p>
    <w:p>
      <w:pPr>
        <w:spacing w:after="0" w:line="7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9"/>
          <w:szCs w:val="19"/>
          <w:color w:val="231F20"/>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Company monitors the nature of its service arrangements for changes in its operations as well as economic conditions. The Company also periodically reviews the transfer pricing analyses for changes in the composition in the pool of comparable companies as well as the related ongoing results of the comparable companies.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Leases</w:t>
      </w:r>
    </w:p>
    <w:p>
      <w:pPr>
        <w:spacing w:after="0" w:line="101"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9"/>
          <w:szCs w:val="19"/>
          <w:color w:val="231F20"/>
        </w:rPr>
        <w:t xml:space="preserve">The Company accounts for leases in accordance with ASC Topic 842, </w:t>
      </w:r>
      <w:r>
        <w:rPr>
          <w:rFonts w:ascii="Times New Roman" w:cs="Times New Roman" w:eastAsia="Times New Roman" w:hAnsi="Times New Roman"/>
          <w:sz w:val="19"/>
          <w:szCs w:val="19"/>
          <w:i w:val="1"/>
          <w:iCs w:val="1"/>
          <w:color w:val="231F20"/>
        </w:rPr>
        <w:t>Leases</w:t>
      </w:r>
      <w:r>
        <w:rPr>
          <w:rFonts w:ascii="Times New Roman" w:cs="Times New Roman" w:eastAsia="Times New Roman" w:hAnsi="Times New Roman"/>
          <w:sz w:val="19"/>
          <w:szCs w:val="19"/>
          <w:color w:val="231F20"/>
        </w:rPr>
        <w:t xml:space="preserve"> (“ASC 842”). At the inception of an arrangement, the Company determines whether the arrangement is or contains a lease based on the unique facts and circumstances present in the arrangement. Most leases with a term greater than one year are recognized on the balance sheet as right-of -use assets and short-term and long-term lease liabilities, as applicable. The Company typically only includes an initial lease term in its assessment of a lease arrangement. Options to renew a lease are not included in the Company’s assessment unless there is reasonable certainty that the Company will renew the lease. The Company monitors its plans to renew its leases on a quarterly basis.</w:t>
      </w:r>
    </w:p>
    <w:p>
      <w:pPr>
        <w:spacing w:after="0" w:line="64" w:lineRule="exact"/>
        <w:rPr>
          <w:sz w:val="20"/>
          <w:szCs w:val="20"/>
          <w:color w:val="auto"/>
        </w:rPr>
      </w:pPr>
    </w:p>
    <w:p>
      <w:pPr>
        <w:ind w:right="100" w:firstLine="1"/>
        <w:spacing w:after="0" w:line="228" w:lineRule="auto"/>
        <w:rPr>
          <w:sz w:val="20"/>
          <w:szCs w:val="20"/>
          <w:color w:val="auto"/>
        </w:rPr>
      </w:pPr>
      <w:r>
        <w:rPr>
          <w:rFonts w:ascii="Times New Roman" w:cs="Times New Roman" w:eastAsia="Times New Roman" w:hAnsi="Times New Roman"/>
          <w:sz w:val="19"/>
          <w:szCs w:val="19"/>
          <w:color w:val="231F20"/>
        </w:rPr>
        <w:t>Certain lease agreements include rental payments that are adjusted periodically for inflation or other variables. In addition to rent, the leases may require the Company to pay additional amounts for taxes, insurance, maintenance, or other expenses, which are generally referred to as non-lease components. Such adjustments to rental payments and variable non -lease components are treated as variable lease payments and recognized in the period in which the obligation for these payments are incurred. Variable lease components and variable non-lease components are not measured as part of the right-of-use asset and lease liability. Only when lease components and their associated non-lease components are fixed are they accounted for as a single lease component and are recognized as part of a right-of-use asset and lease liability. Total contract consideration is allocated to the combined fixed lease and non-lease component. This policy election applies consistently to all asset classes under lease agreements.</w:t>
      </w:r>
    </w:p>
    <w:p>
      <w:pPr>
        <w:spacing w:after="0" w:line="6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9"/>
          <w:szCs w:val="19"/>
          <w:color w:val="231F20"/>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Recently Issued Accounting Pronouncements</w:t>
      </w:r>
    </w:p>
    <w:p>
      <w:pPr>
        <w:spacing w:after="0" w:line="101"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19"/>
          <w:szCs w:val="19"/>
          <w:color w:val="231F20"/>
        </w:rPr>
        <w:t xml:space="preserve">In December 2023, the FASB finalized Accounting Standards Update No. 2023 -09, Income Taxes (Topic 740): </w:t>
      </w:r>
      <w:r>
        <w:rPr>
          <w:rFonts w:ascii="Times New Roman" w:cs="Times New Roman" w:eastAsia="Times New Roman" w:hAnsi="Times New Roman"/>
          <w:sz w:val="19"/>
          <w:szCs w:val="19"/>
          <w:i w:val="1"/>
          <w:iCs w:val="1"/>
          <w:color w:val="231F20"/>
        </w:rPr>
        <w:t>Improvements to</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Income Tax Disclosures </w:t>
      </w:r>
      <w:r>
        <w:rPr>
          <w:rFonts w:ascii="Times New Roman" w:cs="Times New Roman" w:eastAsia="Times New Roman" w:hAnsi="Times New Roman"/>
          <w:sz w:val="19"/>
          <w:szCs w:val="19"/>
          <w:color w:val="231F20"/>
        </w:rPr>
        <w:t>(“ASU 2023-09”). ASU 2023- 09 requires a company's annual financial statements to include consistent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categories and greater disaggregation of information in the rate reconciliation, and income taxes paid disaggregated by jurisdiction. The Company adopted ASU 2023-09 for the Company's fiscal year 2025 annual reporting period and applied it prospectively. The adoption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F-13</w:t>
      </w:r>
    </w:p>
    <w:p>
      <w:pPr>
        <w:sectPr>
          <w:pgSz w:w="11880" w:h="15480" w:orient="portrait"/>
          <w:cols w:equalWidth="0" w:num="1">
            <w:col w:w="10440"/>
          </w:cols>
          <w:pgMar w:left="700" w:top="970" w:right="740" w:bottom="213" w:gutter="0" w:footer="0" w:header="0"/>
        </w:sectPr>
      </w:pPr>
    </w:p>
    <w:bookmarkStart w:id="117" w:name="page118"/>
    <w:bookmarkEnd w:id="117"/>
    <w:p>
      <w:pPr>
        <w:spacing w:after="0" w:line="249" w:lineRule="auto"/>
        <w:rPr>
          <w:sz w:val="20"/>
          <w:szCs w:val="20"/>
          <w:color w:val="auto"/>
        </w:rPr>
      </w:pPr>
      <w:r>
        <w:rPr>
          <w:rFonts w:ascii="Times New Roman" w:cs="Times New Roman" w:eastAsia="Times New Roman" w:hAnsi="Times New Roman"/>
          <w:sz w:val="19"/>
          <w:szCs w:val="19"/>
          <w:color w:val="231F20"/>
        </w:rPr>
        <w:t xml:space="preserve">In November 2024, the FASB issued ASU 2024-03, </w:t>
      </w:r>
      <w:r>
        <w:rPr>
          <w:rFonts w:ascii="Times New Roman" w:cs="Times New Roman" w:eastAsia="Times New Roman" w:hAnsi="Times New Roman"/>
          <w:sz w:val="19"/>
          <w:szCs w:val="19"/>
          <w:i w:val="1"/>
          <w:iCs w:val="1"/>
          <w:color w:val="231F20"/>
        </w:rPr>
        <w:t>Income Statement - Reporting Comprehensive Income - Expense Disaggregation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Disclosures (Subtopic 220-40) </w:t>
      </w:r>
      <w:r>
        <w:rPr>
          <w:rFonts w:ascii="Times New Roman" w:cs="Times New Roman" w:eastAsia="Times New Roman" w:hAnsi="Times New Roman"/>
          <w:sz w:val="19"/>
          <w:szCs w:val="19"/>
          <w:color w:val="231F20"/>
        </w:rPr>
        <w:t>(“ASU 2024-03”). ASU 2024-03 modifies the rules on income statement disclosures to enhance the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transparency of and include more detailed information about the types of expenses, including purchases of inventory, employee compensation, depreciation, amortization, and depletion, in commonly presented expense captions such as cost of sales, research and development, and selling, general and administrative expenses. The amendments are intended to address investors’ requests for income statement expense disclosures that provide more information to help them better understand the components of an entity’s expenses, make their own judgments about the entity’s performance, and more accurately forecast expenses, and enable investors to better assess an entity’s prospects for future cash flows. It will also provide contextual information for an entity’s presentation and consideration of management’s discussion and analysis of financial position and results of operations. The guidance is effective for all entities for annual periods beginning after December 15, 2026. All entities should apply the guidance prospectively but have the option to apply it retrospectively. Early adoption is permitted. The Company is continuing to assess the timing of adoption and the potential impacts of ASU 2024-03 on the consolidated financial statements and related disclosures.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Property and equipment, net, consists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96"/>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40" w:type="dxa"/>
            <w:vAlign w:val="bottom"/>
            <w:tcBorders>
              <w:bottom w:val="single" w:sz="8" w:color="231F20"/>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jc w:val="right"/>
              <w:ind w:right="489"/>
              <w:spacing w:after="0" w:line="181" w:lineRule="exact"/>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34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486"/>
              <w:spacing w:after="0" w:line="181" w:lineRule="exact"/>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5"/>
                <w:szCs w:val="15"/>
                <w:color w:val="auto"/>
              </w:rPr>
            </w:pPr>
          </w:p>
        </w:tc>
      </w:tr>
      <w:tr>
        <w:trPr>
          <w:trHeight w:val="173"/>
        </w:trPr>
        <w:tc>
          <w:tcPr>
            <w:tcW w:w="3920" w:type="dxa"/>
            <w:vAlign w:val="bottom"/>
            <w:tcBorders>
              <w:bottom w:val="single" w:sz="8" w:color="E2E3E4"/>
            </w:tcBorders>
          </w:tcPr>
          <w:p>
            <w:pPr>
              <w:spacing w:after="0"/>
              <w:rPr>
                <w:sz w:val="15"/>
                <w:szCs w:val="15"/>
                <w:color w:val="auto"/>
              </w:rPr>
            </w:pPr>
          </w:p>
        </w:tc>
        <w:tc>
          <w:tcPr>
            <w:tcW w:w="14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1360" w:type="dxa"/>
            <w:vAlign w:val="bottom"/>
            <w:tcBorders>
              <w:bottom w:val="single" w:sz="8" w:color="E2E3E4"/>
            </w:tcBorders>
          </w:tcPr>
          <w:p>
            <w:pPr>
              <w:jc w:val="right"/>
              <w:ind w:right="69"/>
              <w:spacing w:after="0" w:line="173" w:lineRule="exact"/>
              <w:rPr>
                <w:sz w:val="20"/>
                <w:szCs w:val="20"/>
                <w:color w:val="auto"/>
              </w:rPr>
            </w:pPr>
            <w:r>
              <w:rPr>
                <w:rFonts w:ascii="Times New Roman" w:cs="Times New Roman" w:eastAsia="Times New Roman" w:hAnsi="Times New Roman"/>
                <w:sz w:val="16"/>
                <w:szCs w:val="16"/>
                <w:color w:val="231F20"/>
              </w:rPr>
              <w:t>(in</w:t>
            </w:r>
          </w:p>
        </w:tc>
        <w:tc>
          <w:tcPr>
            <w:tcW w:w="680" w:type="dxa"/>
            <w:vAlign w:val="bottom"/>
            <w:tcBorders>
              <w:bottom w:val="single" w:sz="8" w:color="E2E3E4"/>
            </w:tcBorders>
            <w:gridSpan w:val="4"/>
          </w:tcPr>
          <w:p>
            <w:pPr>
              <w:jc w:val="center"/>
              <w:ind w:right="120"/>
              <w:spacing w:after="0" w:line="173" w:lineRule="exact"/>
              <w:rPr>
                <w:sz w:val="20"/>
                <w:szCs w:val="20"/>
                <w:color w:val="auto"/>
              </w:rPr>
            </w:pPr>
            <w:r>
              <w:rPr>
                <w:rFonts w:ascii="Times New Roman" w:cs="Times New Roman" w:eastAsia="Times New Roman" w:hAnsi="Times New Roman"/>
                <w:sz w:val="16"/>
                <w:szCs w:val="16"/>
                <w:color w:val="231F20"/>
                <w:w w:val="80"/>
              </w:rPr>
              <w:t>thousands)</w:t>
            </w:r>
          </w:p>
        </w:tc>
        <w:tc>
          <w:tcPr>
            <w:tcW w:w="1020" w:type="dxa"/>
            <w:vAlign w:val="bottom"/>
            <w:tcBorders>
              <w:bottom w:val="single" w:sz="8" w:color="E2E3E4"/>
            </w:tcBorders>
          </w:tcPr>
          <w:p>
            <w:pPr>
              <w:spacing w:after="0"/>
              <w:rPr>
                <w:sz w:val="15"/>
                <w:szCs w:val="15"/>
                <w:color w:val="auto"/>
              </w:rPr>
            </w:pPr>
          </w:p>
        </w:tc>
        <w:tc>
          <w:tcPr>
            <w:tcW w:w="80" w:type="dxa"/>
            <w:vAlign w:val="bottom"/>
            <w:tcBorders>
              <w:bottom w:val="single" w:sz="8" w:color="E2E3E4"/>
            </w:tcBorders>
          </w:tcPr>
          <w:p>
            <w:pPr>
              <w:spacing w:after="0"/>
              <w:rPr>
                <w:sz w:val="15"/>
                <w:szCs w:val="15"/>
                <w:color w:val="auto"/>
              </w:rPr>
            </w:pPr>
          </w:p>
        </w:tc>
      </w:tr>
      <w:tr>
        <w:trPr>
          <w:trHeight w:val="215"/>
        </w:trPr>
        <w:tc>
          <w:tcPr>
            <w:tcW w:w="3920" w:type="dxa"/>
            <w:vAlign w:val="bottom"/>
            <w:shd w:val="clear" w:color="auto" w:fill="E2E3E4"/>
          </w:tcPr>
          <w:p>
            <w:pPr>
              <w:spacing w:after="0" w:line="215" w:lineRule="exact"/>
              <w:rPr>
                <w:sz w:val="20"/>
                <w:szCs w:val="20"/>
                <w:color w:val="auto"/>
              </w:rPr>
            </w:pPr>
            <w:r>
              <w:rPr>
                <w:rFonts w:ascii="Times New Roman" w:cs="Times New Roman" w:eastAsia="Times New Roman" w:hAnsi="Times New Roman"/>
                <w:sz w:val="19"/>
                <w:szCs w:val="19"/>
                <w:color w:val="231F20"/>
              </w:rPr>
              <w:t>Furniture and equipment</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6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26,374</w:t>
            </w:r>
          </w:p>
        </w:tc>
        <w:tc>
          <w:tcPr>
            <w:tcW w:w="2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center"/>
              <w:spacing w:after="0" w:line="215" w:lineRule="exact"/>
              <w:rPr>
                <w:sz w:val="20"/>
                <w:szCs w:val="20"/>
                <w:color w:val="auto"/>
              </w:rPr>
            </w:pPr>
            <w:r>
              <w:rPr>
                <w:rFonts w:ascii="Times New Roman" w:cs="Times New Roman" w:eastAsia="Times New Roman" w:hAnsi="Times New Roman"/>
                <w:sz w:val="19"/>
                <w:szCs w:val="19"/>
                <w:color w:val="231F20"/>
                <w:shd w:val="clear" w:color="auto" w:fill="E2E3E4"/>
              </w:rPr>
              <w:t>$</w:t>
            </w:r>
          </w:p>
        </w:tc>
        <w:tc>
          <w:tcPr>
            <w:tcW w:w="340" w:type="dxa"/>
            <w:vAlign w:val="bottom"/>
            <w:shd w:val="clear" w:color="auto" w:fill="E2E3E4"/>
          </w:tcPr>
          <w:p>
            <w:pPr>
              <w:spacing w:after="0"/>
              <w:rPr>
                <w:sz w:val="18"/>
                <w:szCs w:val="18"/>
                <w:color w:val="auto"/>
              </w:rPr>
            </w:pPr>
          </w:p>
        </w:tc>
        <w:tc>
          <w:tcPr>
            <w:tcW w:w="102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26,194</w:t>
            </w:r>
          </w:p>
        </w:tc>
        <w:tc>
          <w:tcPr>
            <w:tcW w:w="80" w:type="dxa"/>
            <w:vAlign w:val="bottom"/>
            <w:shd w:val="clear" w:color="auto" w:fill="E2E3E4"/>
          </w:tcPr>
          <w:p>
            <w:pPr>
              <w:spacing w:after="0"/>
              <w:rPr>
                <w:sz w:val="18"/>
                <w:szCs w:val="18"/>
                <w:color w:val="auto"/>
              </w:rPr>
            </w:pPr>
          </w:p>
        </w:tc>
      </w:tr>
      <w:tr>
        <w:trPr>
          <w:trHeight w:val="237"/>
        </w:trPr>
        <w:tc>
          <w:tcPr>
            <w:tcW w:w="392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Software</w:t>
            </w:r>
          </w:p>
        </w:tc>
        <w:tc>
          <w:tcPr>
            <w:tcW w:w="1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3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1,019</w:t>
            </w:r>
          </w:p>
        </w:tc>
        <w:tc>
          <w:tcPr>
            <w:tcW w:w="22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340" w:type="dxa"/>
            <w:vAlign w:val="bottom"/>
            <w:tcBorders>
              <w:bottom w:val="single" w:sz="8" w:color="E2E3E4"/>
            </w:tcBorders>
          </w:tcPr>
          <w:p>
            <w:pPr>
              <w:spacing w:after="0"/>
              <w:rPr>
                <w:sz w:val="20"/>
                <w:szCs w:val="20"/>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1,029</w:t>
            </w:r>
          </w:p>
        </w:tc>
        <w:tc>
          <w:tcPr>
            <w:tcW w:w="80" w:type="dxa"/>
            <w:vAlign w:val="bottom"/>
            <w:tcBorders>
              <w:bottom w:val="single" w:sz="8" w:color="E2E3E4"/>
            </w:tcBorders>
          </w:tcPr>
          <w:p>
            <w:pPr>
              <w:spacing w:after="0"/>
              <w:rPr>
                <w:sz w:val="20"/>
                <w:szCs w:val="20"/>
                <w:color w:val="auto"/>
              </w:rPr>
            </w:pPr>
          </w:p>
        </w:tc>
      </w:tr>
      <w:tr>
        <w:trPr>
          <w:trHeight w:val="217"/>
        </w:trPr>
        <w:tc>
          <w:tcPr>
            <w:tcW w:w="392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Leasehold improvements</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36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28,936</w:t>
            </w:r>
          </w:p>
        </w:tc>
        <w:tc>
          <w:tcPr>
            <w:tcW w:w="2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102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28,885</w:t>
            </w:r>
          </w:p>
        </w:tc>
        <w:tc>
          <w:tcPr>
            <w:tcW w:w="80" w:type="dxa"/>
            <w:vAlign w:val="bottom"/>
            <w:shd w:val="clear" w:color="auto" w:fill="E2E3E4"/>
          </w:tcPr>
          <w:p>
            <w:pPr>
              <w:spacing w:after="0"/>
              <w:rPr>
                <w:sz w:val="18"/>
                <w:szCs w:val="18"/>
                <w:color w:val="auto"/>
              </w:rPr>
            </w:pPr>
          </w:p>
        </w:tc>
      </w:tr>
      <w:tr>
        <w:trPr>
          <w:trHeight w:val="260"/>
        </w:trPr>
        <w:tc>
          <w:tcPr>
            <w:tcW w:w="392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Fixed assets in progress</w:t>
            </w:r>
          </w:p>
        </w:tc>
        <w:tc>
          <w:tcPr>
            <w:tcW w:w="14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598</w:t>
            </w:r>
          </w:p>
        </w:tc>
        <w:tc>
          <w:tcPr>
            <w:tcW w:w="22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349</w:t>
            </w:r>
          </w:p>
        </w:tc>
        <w:tc>
          <w:tcPr>
            <w:tcW w:w="80" w:type="dxa"/>
            <w:vAlign w:val="bottom"/>
            <w:tcBorders>
              <w:bottom w:val="single" w:sz="8" w:color="E2E3E4"/>
            </w:tcBorders>
          </w:tcPr>
          <w:p>
            <w:pPr>
              <w:spacing w:after="0"/>
              <w:rPr>
                <w:sz w:val="22"/>
                <w:szCs w:val="22"/>
                <w:color w:val="auto"/>
              </w:rPr>
            </w:pPr>
          </w:p>
        </w:tc>
      </w:tr>
      <w:tr>
        <w:trPr>
          <w:trHeight w:val="207"/>
        </w:trPr>
        <w:tc>
          <w:tcPr>
            <w:tcW w:w="3920" w:type="dxa"/>
            <w:vAlign w:val="bottom"/>
            <w:tcBorders>
              <w:top w:val="single" w:sz="8" w:color="E2E3E4"/>
            </w:tcBorders>
            <w:shd w:val="clear" w:color="auto" w:fill="E2E3E4"/>
          </w:tcPr>
          <w:p>
            <w:pPr>
              <w:ind w:left="180"/>
              <w:spacing w:after="0" w:line="207" w:lineRule="exact"/>
              <w:rPr>
                <w:sz w:val="20"/>
                <w:szCs w:val="20"/>
                <w:color w:val="auto"/>
              </w:rPr>
            </w:pPr>
            <w:r>
              <w:rPr>
                <w:rFonts w:ascii="Times New Roman" w:cs="Times New Roman" w:eastAsia="Times New Roman" w:hAnsi="Times New Roman"/>
                <w:sz w:val="19"/>
                <w:szCs w:val="19"/>
                <w:color w:val="231F20"/>
              </w:rPr>
              <w:t>Total</w:t>
            </w:r>
          </w:p>
        </w:tc>
        <w:tc>
          <w:tcPr>
            <w:tcW w:w="14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100" w:type="dxa"/>
            <w:vAlign w:val="bottom"/>
            <w:tcBorders>
              <w:top w:val="single" w:sz="8" w:color="E2E3E4"/>
            </w:tcBorders>
            <w:shd w:val="clear" w:color="auto" w:fill="E2E3E4"/>
          </w:tcPr>
          <w:p>
            <w:pPr>
              <w:spacing w:after="0"/>
              <w:rPr>
                <w:sz w:val="17"/>
                <w:szCs w:val="17"/>
                <w:color w:val="auto"/>
              </w:rPr>
            </w:pPr>
          </w:p>
        </w:tc>
        <w:tc>
          <w:tcPr>
            <w:tcW w:w="1360" w:type="dxa"/>
            <w:vAlign w:val="bottom"/>
            <w:tcBorders>
              <w:top w:val="single" w:sz="8" w:color="E2E3E4"/>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56,927</w:t>
            </w:r>
          </w:p>
        </w:tc>
        <w:tc>
          <w:tcPr>
            <w:tcW w:w="22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100" w:type="dxa"/>
            <w:vAlign w:val="bottom"/>
            <w:tcBorders>
              <w:top w:val="single" w:sz="8" w:color="E2E3E4"/>
            </w:tcBorders>
            <w:shd w:val="clear" w:color="auto" w:fill="E2E3E4"/>
          </w:tcPr>
          <w:p>
            <w:pPr>
              <w:spacing w:after="0"/>
              <w:rPr>
                <w:sz w:val="17"/>
                <w:szCs w:val="17"/>
                <w:color w:val="auto"/>
              </w:rPr>
            </w:pPr>
          </w:p>
        </w:tc>
        <w:tc>
          <w:tcPr>
            <w:tcW w:w="340" w:type="dxa"/>
            <w:vAlign w:val="bottom"/>
            <w:tcBorders>
              <w:top w:val="single" w:sz="8" w:color="E2E3E4"/>
            </w:tcBorders>
            <w:shd w:val="clear" w:color="auto" w:fill="E2E3E4"/>
          </w:tcPr>
          <w:p>
            <w:pPr>
              <w:spacing w:after="0"/>
              <w:rPr>
                <w:sz w:val="17"/>
                <w:szCs w:val="17"/>
                <w:color w:val="auto"/>
              </w:rPr>
            </w:pPr>
          </w:p>
        </w:tc>
        <w:tc>
          <w:tcPr>
            <w:tcW w:w="1020" w:type="dxa"/>
            <w:vAlign w:val="bottom"/>
            <w:tcBorders>
              <w:top w:val="single" w:sz="8" w:color="E2E3E4"/>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56,457</w:t>
            </w:r>
          </w:p>
        </w:tc>
        <w:tc>
          <w:tcPr>
            <w:tcW w:w="80" w:type="dxa"/>
            <w:vAlign w:val="bottom"/>
            <w:tcBorders>
              <w:top w:val="single" w:sz="8" w:color="E2E3E4"/>
            </w:tcBorders>
            <w:shd w:val="clear" w:color="auto" w:fill="E2E3E4"/>
          </w:tcPr>
          <w:p>
            <w:pPr>
              <w:spacing w:after="0"/>
              <w:rPr>
                <w:sz w:val="17"/>
                <w:szCs w:val="17"/>
                <w:color w:val="auto"/>
              </w:rPr>
            </w:pP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231F20"/>
              </w:rPr>
              <w:t>Less accumulated depreciation</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9"/>
                <w:szCs w:val="19"/>
                <w:color w:val="231F20"/>
              </w:rPr>
              <w:t>(49,522 )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(46,329 )</w:t>
            </w:r>
          </w:p>
        </w:tc>
      </w:tr>
      <w:tr>
        <w:trPr>
          <w:trHeight w:val="208"/>
        </w:trPr>
        <w:tc>
          <w:tcPr>
            <w:tcW w:w="3920" w:type="dxa"/>
            <w:vAlign w:val="bottom"/>
            <w:tcBorders>
              <w:top w:val="single" w:sz="8" w:color="E2E3E4"/>
            </w:tcBorders>
            <w:shd w:val="clear" w:color="auto" w:fill="E2E3E4"/>
          </w:tcPr>
          <w:p>
            <w:pPr>
              <w:spacing w:after="0" w:line="208" w:lineRule="exact"/>
              <w:rPr>
                <w:sz w:val="20"/>
                <w:szCs w:val="20"/>
                <w:color w:val="auto"/>
              </w:rPr>
            </w:pPr>
            <w:r>
              <w:rPr>
                <w:rFonts w:ascii="Times New Roman" w:cs="Times New Roman" w:eastAsia="Times New Roman" w:hAnsi="Times New Roman"/>
                <w:sz w:val="19"/>
                <w:szCs w:val="19"/>
                <w:color w:val="231F20"/>
              </w:rPr>
              <w:t>Property and equipment, net</w:t>
            </w:r>
          </w:p>
        </w:tc>
        <w:tc>
          <w:tcPr>
            <w:tcW w:w="14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231F20"/>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60" w:type="dxa"/>
            <w:vAlign w:val="bottom"/>
            <w:tcBorders>
              <w:top w:val="single" w:sz="8" w:color="231F20"/>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7,405</w:t>
            </w:r>
          </w:p>
        </w:tc>
        <w:tc>
          <w:tcPr>
            <w:tcW w:w="22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231F20"/>
              <w:bottom w:val="single" w:sz="8" w:color="231F20"/>
            </w:tcBorders>
            <w:shd w:val="clear" w:color="auto" w:fill="E2E3E4"/>
          </w:tcPr>
          <w:p>
            <w:pPr>
              <w:jc w:val="center"/>
              <w:spacing w:after="0" w:line="208" w:lineRule="exact"/>
              <w:rPr>
                <w:sz w:val="20"/>
                <w:szCs w:val="20"/>
                <w:color w:val="auto"/>
              </w:rPr>
            </w:pPr>
            <w:r>
              <w:rPr>
                <w:rFonts w:ascii="Times New Roman" w:cs="Times New Roman" w:eastAsia="Times New Roman" w:hAnsi="Times New Roman"/>
                <w:sz w:val="19"/>
                <w:szCs w:val="19"/>
                <w:color w:val="231F20"/>
                <w:shd w:val="clear" w:color="auto" w:fill="E2E3E4"/>
              </w:rPr>
              <w:t>$</w:t>
            </w:r>
          </w:p>
        </w:tc>
        <w:tc>
          <w:tcPr>
            <w:tcW w:w="340" w:type="dxa"/>
            <w:vAlign w:val="bottom"/>
            <w:tcBorders>
              <w:top w:val="single" w:sz="8" w:color="231F20"/>
              <w:bottom w:val="single" w:sz="8" w:color="231F20"/>
            </w:tcBorders>
            <w:shd w:val="clear" w:color="auto" w:fill="E2E3E4"/>
          </w:tcPr>
          <w:p>
            <w:pPr>
              <w:spacing w:after="0"/>
              <w:rPr>
                <w:sz w:val="18"/>
                <w:szCs w:val="18"/>
                <w:color w:val="auto"/>
              </w:rPr>
            </w:pPr>
          </w:p>
        </w:tc>
        <w:tc>
          <w:tcPr>
            <w:tcW w:w="1020" w:type="dxa"/>
            <w:vAlign w:val="bottom"/>
            <w:tcBorders>
              <w:top w:val="single" w:sz="8" w:color="231F20"/>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10,128</w:t>
            </w:r>
          </w:p>
        </w:tc>
        <w:tc>
          <w:tcPr>
            <w:tcW w:w="80" w:type="dxa"/>
            <w:vAlign w:val="bottom"/>
            <w:tcBorders>
              <w:top w:val="single" w:sz="8" w:color="E2E3E4"/>
            </w:tcBorders>
            <w:shd w:val="clear" w:color="auto" w:fill="E2E3E4"/>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5603875</wp:posOffset>
                </wp:positionH>
                <wp:positionV relativeFrom="paragraph">
                  <wp:posOffset>-1210310</wp:posOffset>
                </wp:positionV>
                <wp:extent cx="5016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25pt,-95.2999pt" to="445.2pt,-95.2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997585</wp:posOffset>
                </wp:positionH>
                <wp:positionV relativeFrom="paragraph">
                  <wp:posOffset>-936625</wp:posOffset>
                </wp:positionV>
                <wp:extent cx="465645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645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5pt,-73.7499pt" to="445.2pt,-73.7499pt" o:allowincell="f" strokecolor="#FFFFFF" strokeweight="0.698pt"/>
            </w:pict>
          </mc:Fallback>
        </mc:AlternateConten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Substantially all of the Company’s long-lived assets were located in the United States as of December 31, 2025 and 2024.</w:t>
      </w:r>
    </w:p>
    <w:p>
      <w:pPr>
        <w:spacing w:after="0" w:line="266"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9"/>
          <w:szCs w:val="19"/>
          <w:color w:val="231F20"/>
        </w:rPr>
        <w:t>Depreciation expense was $3.4 million, $3.9 million, and $5.0 million for the years ended December 31, 2025, 2024, and 2023, respectively.</w:t>
      </w:r>
    </w:p>
    <w:p>
      <w:pPr>
        <w:spacing w:after="0" w:line="268" w:lineRule="exact"/>
        <w:rPr>
          <w:sz w:val="20"/>
          <w:szCs w:val="20"/>
          <w:color w:val="auto"/>
        </w:rPr>
      </w:pPr>
    </w:p>
    <w:p>
      <w:pPr>
        <w:ind w:right="4740"/>
        <w:spacing w:after="0" w:line="419" w:lineRule="auto"/>
        <w:tabs>
          <w:tab w:leader="none" w:pos="196" w:val="left"/>
        </w:tabs>
        <w:numPr>
          <w:ilvl w:val="0"/>
          <w:numId w:val="56"/>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ACCRUED EXPENSES AND OTHER CURRENT LIABILITIES </w:t>
      </w:r>
      <w:r>
        <w:rPr>
          <w:rFonts w:ascii="Times New Roman" w:cs="Times New Roman" w:eastAsia="Times New Roman" w:hAnsi="Times New Roman"/>
          <w:sz w:val="19"/>
          <w:szCs w:val="19"/>
          <w:color w:val="231F20"/>
        </w:rPr>
        <w:t>Accrued expenses and other current liabilities consist of the following:</w:t>
      </w:r>
    </w:p>
    <w:p>
      <w:pPr>
        <w:spacing w:after="0" w:line="84" w:lineRule="exact"/>
        <w:rPr>
          <w:sz w:val="20"/>
          <w:szCs w:val="20"/>
          <w:color w:val="auto"/>
        </w:rPr>
      </w:pPr>
    </w:p>
    <w:tbl>
      <w:tblPr>
        <w:tblLayout w:type="fixed"/>
        <w:tblInd w:w="158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Borders>
              <w:bottom w:val="single" w:sz="8" w:color="231F20"/>
            </w:tcBorders>
          </w:tcPr>
          <w:p>
            <w:pPr>
              <w:spacing w:after="0"/>
              <w:rPr>
                <w:sz w:val="17"/>
                <w:szCs w:val="17"/>
                <w:color w:val="auto"/>
              </w:rPr>
            </w:pPr>
          </w:p>
        </w:tc>
        <w:tc>
          <w:tcPr>
            <w:tcW w:w="81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20" w:type="dxa"/>
            <w:vAlign w:val="bottom"/>
            <w:tcBorders>
              <w:bottom w:val="single" w:sz="8" w:color="231F20"/>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231F20"/>
            </w:tcBorders>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b w:val="1"/>
                <w:bCs w:val="1"/>
                <w:color w:val="231F20"/>
              </w:rPr>
              <w:t>2025</w:t>
            </w:r>
          </w:p>
        </w:tc>
        <w:tc>
          <w:tcPr>
            <w:tcW w:w="560" w:type="dxa"/>
            <w:vAlign w:val="bottom"/>
            <w:tcBorders>
              <w:bottom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Borders>
              <w:bottom w:val="single" w:sz="8" w:color="231F20"/>
            </w:tcBorders>
          </w:tcPr>
          <w:p>
            <w:pPr>
              <w:spacing w:after="0"/>
              <w:rPr>
                <w:sz w:val="15"/>
                <w:szCs w:val="15"/>
                <w:color w:val="auto"/>
              </w:rPr>
            </w:pPr>
          </w:p>
        </w:tc>
        <w:tc>
          <w:tcPr>
            <w:tcW w:w="35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507"/>
              <w:spacing w:after="0" w:line="183"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Borders>
              <w:bottom w:val="single" w:sz="8" w:color="231F20"/>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810" w:type="dxa"/>
            <w:vAlign w:val="bottom"/>
          </w:tcPr>
          <w:p>
            <w:pPr>
              <w:spacing w:after="0" w:line="20" w:lineRule="exact"/>
              <w:rPr>
                <w:sz w:val="1"/>
                <w:szCs w:val="1"/>
                <w:color w:val="auto"/>
              </w:rPr>
            </w:pPr>
          </w:p>
        </w:tc>
        <w:tc>
          <w:tcPr>
            <w:tcW w:w="560" w:type="dxa"/>
            <w:vAlign w:val="bottom"/>
            <w:vMerge w:val="restart"/>
          </w:tcPr>
          <w:p>
            <w:pPr>
              <w:jc w:val="right"/>
              <w:ind w:right="70"/>
              <w:spacing w:after="0" w:line="171" w:lineRule="exact"/>
              <w:rPr>
                <w:sz w:val="20"/>
                <w:szCs w:val="20"/>
                <w:color w:val="auto"/>
              </w:rPr>
            </w:pPr>
            <w:r>
              <w:rPr>
                <w:rFonts w:ascii="Times New Roman" w:cs="Times New Roman" w:eastAsia="Times New Roman" w:hAnsi="Times New Roman"/>
                <w:sz w:val="16"/>
                <w:szCs w:val="16"/>
                <w:color w:val="231F20"/>
              </w:rPr>
              <w:t>(in</w:t>
            </w:r>
          </w:p>
        </w:tc>
        <w:tc>
          <w:tcPr>
            <w:tcW w:w="680" w:type="dxa"/>
            <w:vAlign w:val="bottom"/>
            <w:gridSpan w:val="4"/>
            <w:vMerge w:val="restart"/>
          </w:tcPr>
          <w:p>
            <w:pPr>
              <w:jc w:val="center"/>
              <w:ind w:right="140"/>
              <w:spacing w:after="0" w:line="171" w:lineRule="exact"/>
              <w:rPr>
                <w:sz w:val="20"/>
                <w:szCs w:val="20"/>
                <w:color w:val="auto"/>
              </w:rPr>
            </w:pPr>
            <w:r>
              <w:rPr>
                <w:rFonts w:ascii="Times New Roman" w:cs="Times New Roman" w:eastAsia="Times New Roman" w:hAnsi="Times New Roman"/>
                <w:sz w:val="16"/>
                <w:szCs w:val="16"/>
                <w:color w:val="231F20"/>
                <w:w w:val="77"/>
              </w:rPr>
              <w:t>thousands)</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40" w:type="dxa"/>
            <w:vAlign w:val="bottom"/>
            <w:tcBorders>
              <w:bottom w:val="single" w:sz="8" w:color="E2E3E4"/>
            </w:tcBorders>
          </w:tcPr>
          <w:p>
            <w:pPr>
              <w:spacing w:after="0"/>
              <w:rPr>
                <w:sz w:val="13"/>
                <w:szCs w:val="13"/>
                <w:color w:val="auto"/>
              </w:rPr>
            </w:pPr>
          </w:p>
        </w:tc>
        <w:tc>
          <w:tcPr>
            <w:tcW w:w="140" w:type="dxa"/>
            <w:vAlign w:val="bottom"/>
            <w:tcBorders>
              <w:bottom w:val="single" w:sz="8" w:color="E2E3E4"/>
            </w:tcBorders>
          </w:tcPr>
          <w:p>
            <w:pPr>
              <w:spacing w:after="0"/>
              <w:rPr>
                <w:sz w:val="13"/>
                <w:szCs w:val="13"/>
                <w:color w:val="auto"/>
              </w:rPr>
            </w:pPr>
          </w:p>
        </w:tc>
        <w:tc>
          <w:tcPr>
            <w:tcW w:w="20" w:type="dxa"/>
            <w:vAlign w:val="bottom"/>
            <w:tcBorders>
              <w:bottom w:val="single" w:sz="8" w:color="E2E3E4"/>
            </w:tcBorders>
          </w:tcPr>
          <w:p>
            <w:pPr>
              <w:spacing w:after="0"/>
              <w:rPr>
                <w:sz w:val="13"/>
                <w:szCs w:val="13"/>
                <w:color w:val="auto"/>
              </w:rPr>
            </w:pPr>
          </w:p>
        </w:tc>
        <w:tc>
          <w:tcPr>
            <w:tcW w:w="90" w:type="dxa"/>
            <w:vAlign w:val="bottom"/>
            <w:tcBorders>
              <w:bottom w:val="single" w:sz="8" w:color="E2E3E4"/>
            </w:tcBorders>
          </w:tcPr>
          <w:p>
            <w:pPr>
              <w:spacing w:after="0"/>
              <w:rPr>
                <w:sz w:val="13"/>
                <w:szCs w:val="13"/>
                <w:color w:val="auto"/>
              </w:rPr>
            </w:pPr>
          </w:p>
        </w:tc>
        <w:tc>
          <w:tcPr>
            <w:tcW w:w="810" w:type="dxa"/>
            <w:vAlign w:val="bottom"/>
            <w:tcBorders>
              <w:bottom w:val="single" w:sz="8" w:color="E2E3E4"/>
            </w:tcBorders>
          </w:tcPr>
          <w:p>
            <w:pPr>
              <w:spacing w:after="0"/>
              <w:rPr>
                <w:sz w:val="13"/>
                <w:szCs w:val="13"/>
                <w:color w:val="auto"/>
              </w:rPr>
            </w:pPr>
          </w:p>
        </w:tc>
        <w:tc>
          <w:tcPr>
            <w:tcW w:w="560" w:type="dxa"/>
            <w:vAlign w:val="bottom"/>
            <w:tcBorders>
              <w:bottom w:val="single" w:sz="8" w:color="E2E3E4"/>
            </w:tcBorders>
            <w:vMerge w:val="continue"/>
          </w:tcPr>
          <w:p>
            <w:pPr>
              <w:spacing w:after="0"/>
              <w:rPr>
                <w:sz w:val="13"/>
                <w:szCs w:val="13"/>
                <w:color w:val="auto"/>
              </w:rPr>
            </w:pPr>
          </w:p>
        </w:tc>
        <w:tc>
          <w:tcPr>
            <w:tcW w:w="680" w:type="dxa"/>
            <w:vAlign w:val="bottom"/>
            <w:tcBorders>
              <w:bottom w:val="single" w:sz="8" w:color="E2E3E4"/>
            </w:tcBorders>
            <w:gridSpan w:val="4"/>
            <w:vMerge w:val="continue"/>
          </w:tcPr>
          <w:p>
            <w:pPr>
              <w:spacing w:after="0"/>
              <w:rPr>
                <w:sz w:val="13"/>
                <w:szCs w:val="13"/>
                <w:color w:val="auto"/>
              </w:rPr>
            </w:pPr>
          </w:p>
        </w:tc>
        <w:tc>
          <w:tcPr>
            <w:tcW w:w="1020" w:type="dxa"/>
            <w:vAlign w:val="bottom"/>
            <w:tcBorders>
              <w:bottom w:val="single" w:sz="8" w:color="E2E3E4"/>
            </w:tcBorders>
          </w:tcPr>
          <w:p>
            <w:pPr>
              <w:spacing w:after="0"/>
              <w:rPr>
                <w:sz w:val="13"/>
                <w:szCs w:val="13"/>
                <w:color w:val="auto"/>
              </w:rPr>
            </w:pPr>
          </w:p>
        </w:tc>
        <w:tc>
          <w:tcPr>
            <w:tcW w:w="20" w:type="dxa"/>
            <w:vAlign w:val="bottom"/>
            <w:tcBorders>
              <w:bottom w:val="single" w:sz="8" w:color="E2E3E4"/>
            </w:tcBorders>
          </w:tcPr>
          <w:p>
            <w:pPr>
              <w:spacing w:after="0"/>
              <w:rPr>
                <w:sz w:val="13"/>
                <w:szCs w:val="13"/>
                <w:color w:val="auto"/>
              </w:rPr>
            </w:pPr>
          </w:p>
        </w:tc>
        <w:tc>
          <w:tcPr>
            <w:tcW w:w="40" w:type="dxa"/>
            <w:vAlign w:val="bottom"/>
            <w:tcBorders>
              <w:bottom w:val="single" w:sz="8" w:color="E2E3E4"/>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Accrued compensation</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810" w:type="dxa"/>
            <w:vAlign w:val="bottom"/>
            <w:shd w:val="clear" w:color="auto" w:fill="E2E3E4"/>
          </w:tcPr>
          <w:p>
            <w:pPr>
              <w:spacing w:after="0"/>
              <w:rPr>
                <w:sz w:val="18"/>
                <w:szCs w:val="18"/>
                <w:color w:val="auto"/>
              </w:rPr>
            </w:pPr>
          </w:p>
        </w:tc>
        <w:tc>
          <w:tcPr>
            <w:tcW w:w="56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99"/>
              </w:rPr>
              <w:t>18,080</w:t>
            </w:r>
          </w:p>
        </w:tc>
        <w:tc>
          <w:tcPr>
            <w:tcW w:w="2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10" w:type="dxa"/>
            <w:vAlign w:val="bottom"/>
            <w:shd w:val="clear" w:color="auto" w:fill="E2E3E4"/>
          </w:tcPr>
          <w:p>
            <w:pPr>
              <w:jc w:val="center"/>
              <w:spacing w:after="0" w:line="217" w:lineRule="exact"/>
              <w:rPr>
                <w:sz w:val="20"/>
                <w:szCs w:val="20"/>
                <w:color w:val="auto"/>
              </w:rPr>
            </w:pPr>
            <w:r>
              <w:rPr>
                <w:rFonts w:ascii="Times New Roman" w:cs="Times New Roman" w:eastAsia="Times New Roman" w:hAnsi="Times New Roman"/>
                <w:sz w:val="19"/>
                <w:szCs w:val="19"/>
                <w:color w:val="231F20"/>
                <w:shd w:val="clear" w:color="auto" w:fill="E2E3E4"/>
              </w:rPr>
              <w:t>$</w:t>
            </w:r>
          </w:p>
        </w:tc>
        <w:tc>
          <w:tcPr>
            <w:tcW w:w="350" w:type="dxa"/>
            <w:vAlign w:val="bottom"/>
            <w:shd w:val="clear" w:color="auto" w:fill="E2E3E4"/>
          </w:tcPr>
          <w:p>
            <w:pPr>
              <w:spacing w:after="0"/>
              <w:rPr>
                <w:sz w:val="18"/>
                <w:szCs w:val="18"/>
                <w:color w:val="auto"/>
              </w:rPr>
            </w:pPr>
          </w:p>
        </w:tc>
        <w:tc>
          <w:tcPr>
            <w:tcW w:w="102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15,358</w:t>
            </w:r>
          </w:p>
        </w:tc>
        <w:tc>
          <w:tcPr>
            <w:tcW w:w="20" w:type="dxa"/>
            <w:vAlign w:val="bottom"/>
            <w:shd w:val="clear" w:color="auto" w:fill="E2E3E4"/>
          </w:tcPr>
          <w:p>
            <w:pPr>
              <w:spacing w:after="0"/>
              <w:rPr>
                <w:sz w:val="18"/>
                <w:szCs w:val="18"/>
                <w:color w:val="auto"/>
              </w:rPr>
            </w:pPr>
          </w:p>
        </w:tc>
        <w:tc>
          <w:tcPr>
            <w:tcW w:w="4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Accrued expenses related to CROs and CMOs</w:t>
            </w:r>
          </w:p>
        </w:tc>
        <w:tc>
          <w:tcPr>
            <w:tcW w:w="1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90" w:type="dxa"/>
            <w:vAlign w:val="bottom"/>
            <w:tcBorders>
              <w:bottom w:val="single" w:sz="8" w:color="E2E3E4"/>
            </w:tcBorders>
          </w:tcPr>
          <w:p>
            <w:pPr>
              <w:spacing w:after="0"/>
              <w:rPr>
                <w:sz w:val="20"/>
                <w:szCs w:val="20"/>
                <w:color w:val="auto"/>
              </w:rPr>
            </w:pPr>
          </w:p>
        </w:tc>
        <w:tc>
          <w:tcPr>
            <w:tcW w:w="810" w:type="dxa"/>
            <w:vAlign w:val="bottom"/>
            <w:tcBorders>
              <w:bottom w:val="single" w:sz="8" w:color="E2E3E4"/>
            </w:tcBorders>
          </w:tcPr>
          <w:p>
            <w:pPr>
              <w:spacing w:after="0"/>
              <w:rPr>
                <w:sz w:val="20"/>
                <w:szCs w:val="20"/>
                <w:color w:val="auto"/>
              </w:rPr>
            </w:pPr>
          </w:p>
        </w:tc>
        <w:tc>
          <w:tcPr>
            <w:tcW w:w="5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7,314</w:t>
            </w:r>
          </w:p>
        </w:tc>
        <w:tc>
          <w:tcPr>
            <w:tcW w:w="2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10" w:type="dxa"/>
            <w:vAlign w:val="bottom"/>
            <w:tcBorders>
              <w:bottom w:val="single" w:sz="8" w:color="E2E3E4"/>
            </w:tcBorders>
          </w:tcPr>
          <w:p>
            <w:pPr>
              <w:spacing w:after="0"/>
              <w:rPr>
                <w:sz w:val="20"/>
                <w:szCs w:val="20"/>
                <w:color w:val="auto"/>
              </w:rPr>
            </w:pPr>
          </w:p>
        </w:tc>
        <w:tc>
          <w:tcPr>
            <w:tcW w:w="350" w:type="dxa"/>
            <w:vAlign w:val="bottom"/>
            <w:tcBorders>
              <w:bottom w:val="single" w:sz="8" w:color="E2E3E4"/>
            </w:tcBorders>
          </w:tcPr>
          <w:p>
            <w:pPr>
              <w:spacing w:after="0"/>
              <w:rPr>
                <w:sz w:val="20"/>
                <w:szCs w:val="20"/>
                <w:color w:val="auto"/>
              </w:rPr>
            </w:pP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4,551</w:t>
            </w:r>
          </w:p>
        </w:tc>
        <w:tc>
          <w:tcPr>
            <w:tcW w:w="20" w:type="dxa"/>
            <w:vAlign w:val="bottom"/>
            <w:tcBorders>
              <w:bottom w:val="single" w:sz="8" w:color="E2E3E4"/>
            </w:tcBorders>
          </w:tcPr>
          <w:p>
            <w:pPr>
              <w:spacing w:after="0"/>
              <w:rPr>
                <w:sz w:val="20"/>
                <w:szCs w:val="20"/>
                <w:color w:val="auto"/>
              </w:rPr>
            </w:pPr>
          </w:p>
        </w:tc>
        <w:tc>
          <w:tcPr>
            <w:tcW w:w="40" w:type="dxa"/>
            <w:vAlign w:val="bottom"/>
            <w:tcBorders>
              <w:bottom w:val="single" w:sz="8" w:color="E2E3E4"/>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Accrued expenses and other current liabilities</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tcBorders>
              <w:bottom w:val="single" w:sz="8" w:color="231F20"/>
            </w:tcBorders>
            <w:shd w:val="clear" w:color="auto" w:fill="E2E3E4"/>
          </w:tcPr>
          <w:p>
            <w:pPr>
              <w:spacing w:after="0"/>
              <w:rPr>
                <w:sz w:val="18"/>
                <w:szCs w:val="18"/>
                <w:color w:val="auto"/>
              </w:rPr>
            </w:pPr>
          </w:p>
        </w:tc>
        <w:tc>
          <w:tcPr>
            <w:tcW w:w="810" w:type="dxa"/>
            <w:vAlign w:val="bottom"/>
            <w:tcBorders>
              <w:bottom w:val="single" w:sz="8" w:color="231F20"/>
            </w:tcBorders>
            <w:shd w:val="clear" w:color="auto" w:fill="E2E3E4"/>
          </w:tcPr>
          <w:p>
            <w:pPr>
              <w:spacing w:after="0"/>
              <w:rPr>
                <w:sz w:val="18"/>
                <w:szCs w:val="18"/>
                <w:color w:val="auto"/>
              </w:rPr>
            </w:pPr>
          </w:p>
        </w:tc>
        <w:tc>
          <w:tcPr>
            <w:tcW w:w="56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1,170</w:t>
            </w:r>
          </w:p>
        </w:tc>
        <w:tc>
          <w:tcPr>
            <w:tcW w:w="2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10" w:type="dxa"/>
            <w:vAlign w:val="bottom"/>
            <w:tcBorders>
              <w:bottom w:val="single" w:sz="8" w:color="231F20"/>
            </w:tcBorders>
            <w:shd w:val="clear" w:color="auto" w:fill="E2E3E4"/>
          </w:tcPr>
          <w:p>
            <w:pPr>
              <w:spacing w:after="0"/>
              <w:rPr>
                <w:sz w:val="18"/>
                <w:szCs w:val="18"/>
                <w:color w:val="auto"/>
              </w:rPr>
            </w:pPr>
          </w:p>
        </w:tc>
        <w:tc>
          <w:tcPr>
            <w:tcW w:w="350" w:type="dxa"/>
            <w:vAlign w:val="bottom"/>
            <w:tcBorders>
              <w:bottom w:val="single" w:sz="8" w:color="231F20"/>
            </w:tcBorders>
            <w:shd w:val="clear" w:color="auto" w:fill="E2E3E4"/>
          </w:tcPr>
          <w:p>
            <w:pPr>
              <w:spacing w:after="0"/>
              <w:rPr>
                <w:sz w:val="18"/>
                <w:szCs w:val="18"/>
                <w:color w:val="auto"/>
              </w:rPr>
            </w:pPr>
          </w:p>
        </w:tc>
        <w:tc>
          <w:tcPr>
            <w:tcW w:w="102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1,172</w:t>
            </w:r>
          </w:p>
        </w:tc>
        <w:tc>
          <w:tcPr>
            <w:tcW w:w="20" w:type="dxa"/>
            <w:vAlign w:val="bottom"/>
            <w:shd w:val="clear" w:color="auto" w:fill="E2E3E4"/>
          </w:tcPr>
          <w:p>
            <w:pPr>
              <w:spacing w:after="0"/>
              <w:rPr>
                <w:sz w:val="18"/>
                <w:szCs w:val="18"/>
                <w:color w:val="auto"/>
              </w:rPr>
            </w:pPr>
          </w:p>
        </w:tc>
        <w:tc>
          <w:tcPr>
            <w:tcW w:w="4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40" w:type="dxa"/>
            <w:vAlign w:val="bottom"/>
          </w:tcPr>
          <w:p>
            <w:pPr>
              <w:spacing w:after="0" w:line="206" w:lineRule="exact"/>
              <w:rPr>
                <w:sz w:val="20"/>
                <w:szCs w:val="20"/>
                <w:color w:val="auto"/>
              </w:rPr>
            </w:pPr>
            <w:r>
              <w:rPr>
                <w:rFonts w:ascii="Times New Roman" w:cs="Times New Roman" w:eastAsia="Times New Roman" w:hAnsi="Times New Roman"/>
                <w:sz w:val="19"/>
                <w:szCs w:val="19"/>
                <w:color w:val="231F20"/>
              </w:rPr>
              <w:t>Total accrued expenses and other current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35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19"/>
                <w:szCs w:val="19"/>
                <w:color w:val="231F20"/>
              </w:rPr>
              <w:t>liabilities</w:t>
            </w:r>
          </w:p>
        </w:tc>
        <w:tc>
          <w:tcPr>
            <w:tcW w:w="25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1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26,564</w:t>
            </w:r>
          </w:p>
        </w:tc>
        <w:tc>
          <w:tcPr>
            <w:tcW w:w="330" w:type="dxa"/>
            <w:vAlign w:val="bottom"/>
            <w:gridSpan w:val="3"/>
          </w:tcPr>
          <w:p>
            <w:pPr>
              <w:jc w:val="center"/>
              <w:ind w:left="123"/>
              <w:spacing w:after="0"/>
              <w:rPr>
                <w:sz w:val="20"/>
                <w:szCs w:val="20"/>
                <w:color w:val="auto"/>
              </w:rPr>
            </w:pPr>
            <w:r>
              <w:rPr>
                <w:rFonts w:ascii="Times New Roman" w:cs="Times New Roman" w:eastAsia="Times New Roman" w:hAnsi="Times New Roman"/>
                <w:sz w:val="19"/>
                <w:szCs w:val="19"/>
                <w:color w:val="231F20"/>
              </w:rPr>
              <w:t>$</w:t>
            </w:r>
          </w:p>
        </w:tc>
        <w:tc>
          <w:tcPr>
            <w:tcW w:w="35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21,081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0" w:type="dxa"/>
            <w:vAlign w:val="bottom"/>
            <w:tcBorders>
              <w:top w:val="single" w:sz="8" w:color="231F20"/>
              <w:bottom w:val="single" w:sz="8" w:color="231F20"/>
            </w:tcBorders>
          </w:tcPr>
          <w:p>
            <w:pPr>
              <w:spacing w:after="0" w:line="20" w:lineRule="exact"/>
              <w:rPr>
                <w:sz w:val="1"/>
                <w:szCs w:val="1"/>
                <w:color w:val="auto"/>
              </w:rPr>
            </w:pPr>
          </w:p>
        </w:tc>
        <w:tc>
          <w:tcPr>
            <w:tcW w:w="81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 w:type="dxa"/>
            <w:vAlign w:val="bottom"/>
            <w:tcBorders>
              <w:top w:val="single" w:sz="8" w:color="231F20"/>
              <w:bottom w:val="single" w:sz="8" w:color="231F20"/>
            </w:tcBorders>
          </w:tcPr>
          <w:p>
            <w:pPr>
              <w:spacing w:after="0" w:line="20" w:lineRule="exact"/>
              <w:rPr>
                <w:sz w:val="1"/>
                <w:szCs w:val="1"/>
                <w:color w:val="auto"/>
              </w:rPr>
            </w:pPr>
          </w:p>
        </w:tc>
        <w:tc>
          <w:tcPr>
            <w:tcW w:w="35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5. COLLABORATION AGREEMENTS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GSK Collaboration and Equity Agreements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On December 13, 2022, Wave USA and Wave UK entered into a Collaboration and License Agreement (the “GSK Collaboration Agreement”) with GlaxoSmithKline Intellectual Property (No. 3) (“GSK”). Pursuant to the GSK Collaboration Agreement, Wave and GSK have agreed to collaborate on the research, development, and commercialization of oligonucleotide therapeutics, including an exclusive global license to WVE-006. The discovery collaboration component has an initial four-year research term and combines Wave’s proprietary discovery and drug development platform, PRISM, with GSK’s unique genetic insights and its global development and commercial capabilities. On January 27, 2023, the GSK Collaboration Agreement became effective, and GSK paid Wave an upfront payment of $120.0 million.</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F-14</w:t>
      </w:r>
    </w:p>
    <w:p>
      <w:pPr>
        <w:sectPr>
          <w:pgSz w:w="11880" w:h="15480" w:orient="portrait"/>
          <w:cols w:equalWidth="0" w:num="1">
            <w:col w:w="10420"/>
          </w:cols>
          <w:pgMar w:left="700" w:top="963" w:right="760" w:bottom="213" w:gutter="0" w:footer="0" w:header="0"/>
        </w:sectPr>
      </w:pPr>
    </w:p>
    <w:bookmarkStart w:id="118" w:name="page119"/>
    <w:bookmarkEnd w:id="118"/>
    <w:p>
      <w:pPr>
        <w:spacing w:after="0" w:line="253" w:lineRule="auto"/>
        <w:rPr>
          <w:sz w:val="20"/>
          <w:szCs w:val="20"/>
          <w:color w:val="auto"/>
        </w:rPr>
      </w:pPr>
      <w:r>
        <w:rPr>
          <w:rFonts w:ascii="Times New Roman" w:cs="Times New Roman" w:eastAsia="Times New Roman" w:hAnsi="Times New Roman"/>
          <w:sz w:val="19"/>
          <w:szCs w:val="19"/>
          <w:color w:val="231F20"/>
        </w:rPr>
        <w:t>Simultaneously with the execution of the GSK Collaboration Agreement, Wave entered into a Share Purchase Agreement (the “SPA”) on December 13, 2022, with Glaxo Group Limited (“GGL”), an affiliate of GSK, pursuant to which Wave agreed to sell 10,683,761 of its ordinary shares to GGL at a purchase price of $4.68 per share (the “GSK Equity Investment”). The GSK Equity Investment closed on January 26, 2023, following the completion of customary closing conditions. The ordinary shares purchased by GGL in the GSK Equity Investment carry certain registration rights, customary for transactions of this kind. The Company did not incur any material costs in connection with the issuance of the ordinary shares under the SPA.</w:t>
      </w:r>
    </w:p>
    <w:p>
      <w:pPr>
        <w:spacing w:after="0" w:line="7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231F20"/>
        </w:rPr>
        <w:t>The GSK Collaboration Agreement has three components: (1) a discovery collaboration which enables the Company to advance up to three programs leveraging targets informed by GSK’s novel genetic insights (“Wave’s Collaboration Programs”); (2) a discovery collaboration which enables GSK to advance up to eight programs leveraging PRISM and the Company’s oligonucleotide expertise and discovery capabilities (the “Discovery Research Collaboration”); and (3) an exclusive global license for GSK to WVE-006, the Company’s alpha-1 antitrypsin deficiency (“AATD”) program, that uses the Company’s proprietary AIMer technology (the "AATD Collaboration"). The Company will be responsible for preclinical, regulatory, manufacturing, and clinical activities for WVE-006 through the initial Phase 1/2 study, at the Company’s sole cost. Thereafter, GSK will be responsible for advancing WVE-006 through pivotal studies, registration, and global commercialization at GSK’s sole cost. On February 2, 2026, the Company announced that it regained full rights to WVE-006, an investigational GalNAc-conjugated RNA editing oligonucleotide for alpha-1 antitrypsin deficiency, which was originally the subject of an exclusive global license to GSK under the GSK Collaboration Agreement.</w:t>
      </w:r>
    </w:p>
    <w:p>
      <w:pPr>
        <w:spacing w:after="0" w:line="8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231F20"/>
        </w:rPr>
        <w:t>Under the GSK Collaboration Agreement, each party grants to the other party certain licenses to the collaboration products to enable the other party to perform its obligations and exercise its rights under the GSK Collaboration Agreement, including license grants to enable each party to conduct research, development and commercialization activities pursuant to the terms of the GSK Collaboration Agreement. The parties’ exclusivity obligations to each other are limited on a target-by -target basis with regard to targets in the collaboration. GSK may terminate the GSK Collaboration Agreement for convenience, in its entirety or on a target-by-target basis. Subject to certain exceptions, each party has the right to terminate the GSK Collaboration Agreement on a target-by-target basis if the other party, or a related party, challenges the patentability, enforceability or validity of any patents within the licensed technology that cover any product that is subject to the GSK Collaboration Agreement. In the event of any material breach of the GSK Collaboration Agreement by a party, subject to cure rights, the other party may terminate the GSK Collaboration Agreement in its entirety if the breach relates to all targets or on a target-by-target basis if the breach relates to a specific target. In the event that GSK and its affiliates cease development, manufacturing and commercialization activities with respect to compounds or products subject to the GSK Collaboration Agreement and directed to a particular target, the Company may terminate the GSK Collaboration Agreement with respect to such target. Either party may terminate the GSK Collaboration Agreement for the other party’s insolvency. In certain termination circumstances, the Company would receive a license from GSK to continue researching, developing and manufacturing certain products.</w:t>
      </w:r>
    </w:p>
    <w:p>
      <w:pPr>
        <w:spacing w:after="0" w:line="30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9"/>
          <w:szCs w:val="19"/>
          <w:color w:val="231F20"/>
        </w:rPr>
        <w:t>The GSK Collaboration Agreement,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 The GSK Collaboration Agreement includes options to extend the research term for up to three additional years, which would increase the number of programs available to both parties. The Company will lead all preclinical research for GSK and the Company’s collaboration programs up to investigational new drug (“IND”)- enabling studies. The Company will lead IND-enabling studies, clinical development and commercialization for the Company’s collaboration programs. GSK collaboration programs will transfer to GSK for IND-enabling studies, clinical development and commercialization.</w:t>
      </w:r>
    </w:p>
    <w:p>
      <w:pPr>
        <w:spacing w:after="0" w:line="7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231F20"/>
        </w:rPr>
        <w:t>The GSK Collaboration Agreement is managed by a joint steering committee in which both parties are represented equally. In addition, the AATD Collaboration is overseen by a joint development committee, a joint patent committee advises on intellectual property activities, and the Discovery Research Collaboration is overseen by a joint research committee. Both parties are represented equally for these committees and report to the joint steering committee.</w:t>
      </w:r>
    </w:p>
    <w:p>
      <w:pPr>
        <w:spacing w:after="0" w:line="6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231F20"/>
        </w:rPr>
        <w:t>The Company assessed this arrangement in accordance with ASC 606, Revenue from Contracts with Customers ("ASC 606") and concluded that the contract counterparty, GSK, is a customer for the AATD Collaboration prior to GSK exercising its option and, for the Discovery Research Collaboration programs during the target validation research term. The Company identified the following material promises under the arrangement: (1) the exclusive global license for WVE-006; (2) the research and development services for WVE-006 through the Phase 1/2 study; (3) the discovery research services under the Discovery Research Collaboration to perform target validation programs; (4) research and development license for the Discovery Research Collaboration; and (5) the research and development services for the GSK collaboration programs through completion of a candidate selection. The research and development services for WVE-006 were determined to not be distinct from the exclusive global license and should therefore be combined into a single performance obligation for the AATD Collaboration. The research and development services for the Discovery Research Collaboration were determined to not be distinct from the research and development license for the Discovery Research Collaboration and should therefore be combined into a single performance obligation. In addition, the Company determined the standalone selling price for the option to advance up to eight programs from the Discovery Research Collaboration and determined it did not provide a material right to GSK.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F-15</w:t>
      </w:r>
    </w:p>
    <w:p>
      <w:pPr>
        <w:sectPr>
          <w:pgSz w:w="11880" w:h="15480" w:orient="portrait"/>
          <w:cols w:equalWidth="0" w:num="1">
            <w:col w:w="10480"/>
          </w:cols>
          <w:pgMar w:left="700" w:top="963" w:right="700" w:bottom="213" w:gutter="0" w:footer="0" w:header="0"/>
        </w:sectPr>
      </w:pPr>
    </w:p>
    <w:bookmarkStart w:id="119" w:name="page120"/>
    <w:bookmarkEnd w:id="119"/>
    <w:p>
      <w:pPr>
        <w:ind w:right="20"/>
        <w:spacing w:after="0" w:line="259" w:lineRule="auto"/>
        <w:rPr>
          <w:sz w:val="20"/>
          <w:szCs w:val="20"/>
          <w:color w:val="auto"/>
        </w:rPr>
      </w:pPr>
      <w:r>
        <w:rPr>
          <w:rFonts w:ascii="Times New Roman" w:cs="Times New Roman" w:eastAsia="Times New Roman" w:hAnsi="Times New Roman"/>
          <w:sz w:val="19"/>
          <w:szCs w:val="19"/>
          <w:color w:val="231F20"/>
        </w:rPr>
        <w:t>Based on these assessments, the Company identified two performance obligations in the GSK Collaboration Agreement: (1) AATD Collaboration consisting of the research and development services through completion of the Phase 1/2 study and research and development license for WVE-006 and (2) Discovery Research Collaboration which consists of research and development services for validating the targets and license for research and development license for targets.</w:t>
      </w:r>
    </w:p>
    <w:p>
      <w:pPr>
        <w:spacing w:after="0" w:line="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231F20"/>
        </w:rPr>
        <w:t>At the outset of the arrangement, the transaction price included fixed consideration of the $120.0 million upfront, the $15.4 million in premium related to the GSK Equity Investment and the fixed consideration related to the additional target validation research funding. The Company allocated the estimated variable consideration relating to the target validation research to the Discovery Research Collaboration and the variable consideration relating to the development milestone to the AATD Collaboration and then allocated the fixed consideration to the performance obligations on a relative standalone selling price basis. The Company determined that the GSK Collaboration Agreement did not contain a significant financing component. The program initiation fees to advance up to eight programs from the Discovery Research Collaboration to preclinically develop the GSK collaboration programs and the additional potential milestone payments were excluded from the transaction price, as all milestone amounts were fully constrained at the inception of the GSK Collaboration Agreement. The Company will reevaluate the transaction price at the end of each reporting period, and as uncertain events are resolved or other changes in circumstances occur, the Company will adjust its estimate of the transaction price.</w:t>
      </w:r>
    </w:p>
    <w:p>
      <w:pPr>
        <w:spacing w:after="0" w:line="3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231F20"/>
        </w:rPr>
        <w:t>Under the GSK Collaboration Agreement, GSK can advance up to eight programs (GSK Collaboration Programs) leveraging the Company's PRISM platform and multiple RNA-targeting modalities (RNAi, RNA editing, splicing, and antisense) with target validation work ongoing across multiple therapy areas. The advancement to a development candidate following the achievement of target validation results in a GSK Collaboration Program performance obligation. In September 2025, GSK selected a third program to advance to a development candidate following the achievement of target validation, resulting in three programs designated as GSK Collaboration Programs as of December 31, 2025. Subsequent to December 31, 2025, GSK selected a fourth program to advance to development candidate following achievement of target validation. Under the GSK Collaboration Agreement, GSK has paid an aggregate of $32.0 million in program initiation payments related to these four programs, of which $10.0 million was received after December 31, 2025.</w:t>
      </w:r>
    </w:p>
    <w:p>
      <w:pPr>
        <w:spacing w:after="0" w:line="303"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9"/>
          <w:szCs w:val="19"/>
          <w:color w:val="231F20"/>
        </w:rPr>
        <w:t>The following table summarizes the allocation of the total transaction price to the identified performance obligations under the GSK Collaboration Agreement, and the amount of the transaction price unsatisfied as of December 31, 2025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231F20"/>
                <w:w w:val="96"/>
              </w:rPr>
              <w:t>Transaction Price</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231F20"/>
              </w:rPr>
              <w:t xml:space="preserve">Transaction Price Unsatisfied </w:t>
            </w:r>
            <w:r>
              <w:rPr>
                <w:rFonts w:ascii="Times New Roman" w:cs="Times New Roman" w:eastAsia="Times New Roman" w:hAnsi="Times New Roman"/>
                <w:sz w:val="25"/>
                <w:szCs w:val="25"/>
                <w:color w:val="231F20"/>
                <w:vertAlign w:val="superscript"/>
              </w:rPr>
              <w:t>(1)</w:t>
            </w:r>
          </w:p>
        </w:tc>
      </w:tr>
      <w:tr>
        <w:trPr>
          <w:trHeight w:val="224"/>
        </w:trPr>
        <w:tc>
          <w:tcPr>
            <w:tcW w:w="440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Performance Obligations:</w:t>
            </w:r>
          </w:p>
        </w:tc>
        <w:tc>
          <w:tcPr>
            <w:tcW w:w="24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spacing w:after="0"/>
              <w:rPr>
                <w:sz w:val="19"/>
                <w:szCs w:val="19"/>
                <w:color w:val="auto"/>
              </w:rPr>
            </w:pPr>
          </w:p>
        </w:tc>
        <w:tc>
          <w:tcPr>
            <w:tcW w:w="1740" w:type="dxa"/>
            <w:vAlign w:val="bottom"/>
            <w:tcBorders>
              <w:top w:val="single" w:sz="8" w:color="231F20"/>
            </w:tcBorders>
            <w:shd w:val="clear" w:color="auto" w:fill="E2E3E4"/>
          </w:tcPr>
          <w:p>
            <w:pPr>
              <w:spacing w:after="0"/>
              <w:rPr>
                <w:sz w:val="19"/>
                <w:szCs w:val="19"/>
                <w:color w:val="auto"/>
              </w:rPr>
            </w:pPr>
          </w:p>
        </w:tc>
        <w:tc>
          <w:tcPr>
            <w:tcW w:w="660" w:type="dxa"/>
            <w:vAlign w:val="bottom"/>
            <w:tcBorders>
              <w:top w:val="single" w:sz="8" w:color="231F20"/>
            </w:tcBorders>
            <w:shd w:val="clear" w:color="auto" w:fill="E2E3E4"/>
          </w:tcPr>
          <w:p>
            <w:pPr>
              <w:spacing w:after="0"/>
              <w:rPr>
                <w:sz w:val="19"/>
                <w:szCs w:val="19"/>
                <w:color w:val="auto"/>
              </w:rPr>
            </w:pPr>
          </w:p>
        </w:tc>
        <w:tc>
          <w:tcPr>
            <w:tcW w:w="34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spacing w:after="0"/>
              <w:rPr>
                <w:sz w:val="19"/>
                <w:szCs w:val="19"/>
                <w:color w:val="auto"/>
              </w:rPr>
            </w:pPr>
          </w:p>
        </w:tc>
        <w:tc>
          <w:tcPr>
            <w:tcW w:w="2800" w:type="dxa"/>
            <w:vAlign w:val="bottom"/>
            <w:tcBorders>
              <w:top w:val="single" w:sz="8" w:color="231F20"/>
            </w:tcBorders>
            <w:shd w:val="clear" w:color="auto" w:fill="E2E3E4"/>
          </w:tcPr>
          <w:p>
            <w:pPr>
              <w:spacing w:after="0"/>
              <w:rPr>
                <w:sz w:val="19"/>
                <w:szCs w:val="19"/>
                <w:color w:val="auto"/>
              </w:rPr>
            </w:pPr>
          </w:p>
        </w:tc>
        <w:tc>
          <w:tcPr>
            <w:tcW w:w="100" w:type="dxa"/>
            <w:vAlign w:val="bottom"/>
            <w:tcBorders>
              <w:top w:val="single" w:sz="8" w:color="E2E3E4"/>
            </w:tcBorders>
            <w:shd w:val="clear" w:color="auto" w:fill="E2E3E4"/>
          </w:tcPr>
          <w:p>
            <w:pPr>
              <w:spacing w:after="0"/>
              <w:rPr>
                <w:sz w:val="19"/>
                <w:szCs w:val="19"/>
                <w:color w:val="auto"/>
              </w:rPr>
            </w:pPr>
          </w:p>
        </w:tc>
      </w:tr>
      <w:tr>
        <w:trPr>
          <w:trHeight w:val="237"/>
        </w:trPr>
        <w:tc>
          <w:tcPr>
            <w:tcW w:w="4400" w:type="dxa"/>
            <w:vAlign w:val="bottom"/>
            <w:tcBorders>
              <w:bottom w:val="single" w:sz="8" w:color="E2E3E4"/>
            </w:tcBorders>
          </w:tcPr>
          <w:p>
            <w:pPr>
              <w:ind w:left="140"/>
              <w:spacing w:after="0"/>
              <w:rPr>
                <w:sz w:val="20"/>
                <w:szCs w:val="20"/>
                <w:color w:val="auto"/>
              </w:rPr>
            </w:pPr>
            <w:r>
              <w:rPr>
                <w:rFonts w:ascii="Times New Roman" w:cs="Times New Roman" w:eastAsia="Times New Roman" w:hAnsi="Times New Roman"/>
                <w:sz w:val="19"/>
                <w:szCs w:val="19"/>
                <w:color w:val="231F20"/>
              </w:rPr>
              <w:t>AATD Collaboration</w:t>
            </w:r>
          </w:p>
        </w:tc>
        <w:tc>
          <w:tcPr>
            <w:tcW w:w="24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7"/>
                <w:szCs w:val="17"/>
                <w:color w:val="231F20"/>
                <w:highlight w:val="white"/>
                <w:w w:val="70"/>
              </w:rPr>
              <w:t>$</w:t>
            </w:r>
          </w:p>
        </w:tc>
        <w:tc>
          <w:tcPr>
            <w:tcW w:w="1740" w:type="dxa"/>
            <w:vAlign w:val="bottom"/>
            <w:tcBorders>
              <w:bottom w:val="single" w:sz="8" w:color="E2E3E4"/>
            </w:tcBorders>
          </w:tcPr>
          <w:p>
            <w:pPr>
              <w:spacing w:after="0"/>
              <w:rPr>
                <w:sz w:val="20"/>
                <w:szCs w:val="20"/>
                <w:color w:val="auto"/>
              </w:rPr>
            </w:pPr>
          </w:p>
        </w:tc>
        <w:tc>
          <w:tcPr>
            <w:tcW w:w="6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166,778</w:t>
            </w:r>
          </w:p>
        </w:tc>
        <w:tc>
          <w:tcPr>
            <w:tcW w:w="34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highlight w:val="white"/>
                <w:w w:val="83"/>
              </w:rPr>
              <w:t>$</w:t>
            </w:r>
          </w:p>
        </w:tc>
        <w:tc>
          <w:tcPr>
            <w:tcW w:w="28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35,885</w:t>
            </w:r>
          </w:p>
        </w:tc>
        <w:tc>
          <w:tcPr>
            <w:tcW w:w="100" w:type="dxa"/>
            <w:vAlign w:val="bottom"/>
            <w:tcBorders>
              <w:bottom w:val="single" w:sz="8" w:color="E2E3E4"/>
            </w:tcBorders>
          </w:tcPr>
          <w:p>
            <w:pPr>
              <w:spacing w:after="0"/>
              <w:rPr>
                <w:sz w:val="20"/>
                <w:szCs w:val="20"/>
                <w:color w:val="auto"/>
              </w:rPr>
            </w:pPr>
          </w:p>
        </w:tc>
      </w:tr>
      <w:tr>
        <w:trPr>
          <w:trHeight w:val="217"/>
        </w:trPr>
        <w:tc>
          <w:tcPr>
            <w:tcW w:w="4400" w:type="dxa"/>
            <w:vAlign w:val="bottom"/>
            <w:shd w:val="clear" w:color="auto" w:fill="E2E3E4"/>
          </w:tcPr>
          <w:p>
            <w:pPr>
              <w:ind w:left="140"/>
              <w:spacing w:after="0" w:line="217" w:lineRule="exact"/>
              <w:rPr>
                <w:sz w:val="20"/>
                <w:szCs w:val="20"/>
                <w:color w:val="auto"/>
              </w:rPr>
            </w:pPr>
            <w:r>
              <w:rPr>
                <w:rFonts w:ascii="Times New Roman" w:cs="Times New Roman" w:eastAsia="Times New Roman" w:hAnsi="Times New Roman"/>
                <w:sz w:val="19"/>
                <w:szCs w:val="19"/>
                <w:color w:val="231F20"/>
              </w:rPr>
              <w:t>Discovery Research Collaboration</w:t>
            </w:r>
          </w:p>
        </w:tc>
        <w:tc>
          <w:tcPr>
            <w:tcW w:w="24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740" w:type="dxa"/>
            <w:vAlign w:val="bottom"/>
            <w:shd w:val="clear" w:color="auto" w:fill="E2E3E4"/>
          </w:tcPr>
          <w:p>
            <w:pPr>
              <w:spacing w:after="0"/>
              <w:rPr>
                <w:sz w:val="18"/>
                <w:szCs w:val="18"/>
                <w:color w:val="auto"/>
              </w:rPr>
            </w:pPr>
          </w:p>
        </w:tc>
        <w:tc>
          <w:tcPr>
            <w:tcW w:w="66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10,310</w:t>
            </w:r>
          </w:p>
        </w:tc>
        <w:tc>
          <w:tcPr>
            <w:tcW w:w="34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28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3,509</w:t>
            </w:r>
          </w:p>
        </w:tc>
        <w:tc>
          <w:tcPr>
            <w:tcW w:w="100" w:type="dxa"/>
            <w:vAlign w:val="bottom"/>
            <w:shd w:val="clear" w:color="auto" w:fill="E2E3E4"/>
          </w:tcPr>
          <w:p>
            <w:pPr>
              <w:spacing w:after="0"/>
              <w:rPr>
                <w:sz w:val="18"/>
                <w:szCs w:val="18"/>
                <w:color w:val="auto"/>
              </w:rPr>
            </w:pPr>
          </w:p>
        </w:tc>
      </w:tr>
      <w:tr>
        <w:trPr>
          <w:trHeight w:val="237"/>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231F20"/>
              </w:rPr>
              <w:t>GSK Collaboration Programs</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22,000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13,694</w:t>
            </w:r>
          </w:p>
        </w:tc>
        <w:tc>
          <w:tcPr>
            <w:tcW w:w="100" w:type="dxa"/>
            <w:vAlign w:val="bottom"/>
          </w:tcPr>
          <w:p>
            <w:pPr>
              <w:spacing w:after="0"/>
              <w:rPr>
                <w:sz w:val="20"/>
                <w:szCs w:val="20"/>
                <w:color w:val="auto"/>
              </w:rPr>
            </w:pPr>
          </w:p>
        </w:tc>
      </w:tr>
      <w:tr>
        <w:trPr>
          <w:trHeight w:val="224"/>
        </w:trPr>
        <w:tc>
          <w:tcPr>
            <w:tcW w:w="4400" w:type="dxa"/>
            <w:vAlign w:val="bottom"/>
            <w:tcBorders>
              <w:top w:val="single" w:sz="8" w:color="231F20"/>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w:t>
            </w:r>
          </w:p>
        </w:tc>
        <w:tc>
          <w:tcPr>
            <w:tcW w:w="24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740" w:type="dxa"/>
            <w:vAlign w:val="bottom"/>
            <w:tcBorders>
              <w:top w:val="single" w:sz="8" w:color="231F20"/>
            </w:tcBorders>
            <w:shd w:val="clear" w:color="auto" w:fill="E2E3E4"/>
          </w:tcPr>
          <w:p>
            <w:pPr>
              <w:spacing w:after="0"/>
              <w:rPr>
                <w:sz w:val="19"/>
                <w:szCs w:val="19"/>
                <w:color w:val="auto"/>
              </w:rPr>
            </w:pPr>
          </w:p>
        </w:tc>
        <w:tc>
          <w:tcPr>
            <w:tcW w:w="66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199,088</w:t>
            </w:r>
          </w:p>
        </w:tc>
        <w:tc>
          <w:tcPr>
            <w:tcW w:w="34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280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53,088</w:t>
            </w:r>
          </w:p>
        </w:tc>
        <w:tc>
          <w:tcPr>
            <w:tcW w:w="100" w:type="dxa"/>
            <w:vAlign w:val="bottom"/>
            <w:tcBorders>
              <w:top w:val="single" w:sz="8" w:color="E2E3E4"/>
            </w:tcBorders>
            <w:shd w:val="clear" w:color="auto" w:fill="E2E3E4"/>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-601345</wp:posOffset>
                </wp:positionV>
                <wp:extent cx="665162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3499pt" to="523.75pt,-47.3499pt" o:allowincell="f" strokecolor="#FFFFFF" strokeweight="0.699pt"/>
            </w:pict>
          </mc:Fallback>
        </mc:AlternateContent>
      </w:r>
    </w:p>
    <w:p>
      <w:pPr>
        <w:spacing w:after="0" w:line="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31F20"/>
        </w:rPr>
        <w:t>(1) The Unsatisfied transaction price will be recognized over the remaining applicable research or program term.</w:t>
      </w:r>
    </w:p>
    <w:p>
      <w:pPr>
        <w:spacing w:after="0" w:line="12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9"/>
          <w:szCs w:val="19"/>
          <w:color w:val="231F20"/>
        </w:rPr>
        <w:t>The Company developed the estimated standalone selling price for the global license for WVE-006, under the AATD Collaboration, using a discounted cash flow model. For the performance obligation associated with the research and development services under the Discovery Research Collaboration and the research and development services for WVE-006 under the AATD Collaboration, the Company determined the standalone selling price using estimates of the costs to perform the research and development services, including expected internal and external costs for services and supplies, adjusted to reflect a profit margin. The total estimated cost of the research and development services reflected the nature of the services to be performed and the Company’s best estimate of the length of time required to perform the services.</w:t>
      </w:r>
    </w:p>
    <w:p>
      <w:pPr>
        <w:spacing w:after="0" w:line="7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231F20"/>
        </w:rPr>
        <w:t>Revenue associated with the AATD Collaboration performance obligation is being recognized as the research and development services are provided using an input measure, according to the costs incurred and the total costs expected to be incurred to satisfy the performance obligation. The revenue associated with the Discovery Research Collaboration performance obligation is being recognized as the research and development services are provided using an input measure, according to the costs incurred and the total costs expected to be incurred to satisfy the performance obligation. The amounts received that have not yet been recognized as revenue are recorded in deferred revenue on the Company’s consolidated balance sheet. Additional funding related to the Company’s research activities related to Discovery Research Collaboration will be recorded as accounts receivable when contractually enforceable and recorded as deferred revenue, or as revenue as the services are provided.</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231F20"/>
        </w:rPr>
        <w:t>During the year ended December 31, 2023, the Company achieved a developmental milestone which pertained to the initiation of dosing in healthy volunteers in the RestorAATion clinical trial program, triggering a $20.0 million milestone payment to the Company from GSK, which was collected in the first quarter of 2024. During the year ended December 31, 2025, GSK acknowledged the Company’s achievement of another development milestone for the AATD program, triggering a $10.0 million milestone payment to the Company from GSK, which was collected during the fourth quarter of 2025.</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F-16</w:t>
      </w:r>
    </w:p>
    <w:p>
      <w:pPr>
        <w:sectPr>
          <w:pgSz w:w="11880" w:h="15480" w:orient="portrait"/>
          <w:cols w:equalWidth="0" w:num="1">
            <w:col w:w="10480"/>
          </w:cols>
          <w:pgMar w:left="700" w:top="963" w:right="700" w:bottom="213" w:gutter="0" w:footer="0" w:header="0"/>
        </w:sectPr>
      </w:pPr>
    </w:p>
    <w:bookmarkStart w:id="120" w:name="page121"/>
    <w:bookmarkEnd w:id="120"/>
    <w:p>
      <w:pPr>
        <w:ind w:right="440"/>
        <w:spacing w:after="0" w:line="286" w:lineRule="auto"/>
        <w:rPr>
          <w:sz w:val="20"/>
          <w:szCs w:val="20"/>
          <w:color w:val="auto"/>
        </w:rPr>
      </w:pPr>
      <w:r>
        <w:rPr>
          <w:rFonts w:ascii="Times New Roman" w:cs="Times New Roman" w:eastAsia="Times New Roman" w:hAnsi="Times New Roman"/>
          <w:sz w:val="19"/>
          <w:szCs w:val="19"/>
          <w:color w:val="231F20"/>
        </w:rPr>
        <w:t>Under the GSK Collaboration Agreement, during the years ended December 31, 2025, 2024, and 2023, the Company recognized revenue of $42.7 million, $37.0 million, and $66.3 million, respectively, using the input method described above.</w:t>
      </w:r>
    </w:p>
    <w:p>
      <w:pPr>
        <w:spacing w:after="0" w:line="4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color w:val="231F20"/>
        </w:rPr>
        <w:t>The aggregate amount of the transaction price allocated to the Company’s unsatisfied and partially unsatisfied performance obligations which are recorded in deferred revenue as of December 31, 2025 is approximately $52.2 million, of which approximately $44.4 million is included in current liabilities and $7.8 million is included in long-term liabilities. The aggregate amount of the transaction price allocated to the Company’s unsatisfied and partially unsatisfied performance obligations which were recorded in deferred revenue as of December 31, 2024 was approximately $72.1 million, of which approximately $66.0 million was included in current liabilities and $6.1 million was included in long-term liabilities. The Company expects to recognize the remaining deferred revenue related to the AATD performance obligation, which was fully satisfied upon the termination of the AATD license, in the first quarter of 2026.</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Takeda Collaboration and Equity Agreements</w:t>
      </w:r>
    </w:p>
    <w:p>
      <w:pPr>
        <w:spacing w:after="0" w:line="1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color w:val="231F20"/>
        </w:rPr>
        <w:t>In February 2018, the Company entered into a global strategic collaboration with Takeda Pharmaceutical Company Limited (“Takeda”), pursuant to which the Company agreed to collaborate with Takeda on the research, development and commercialization of oligonucleotide therapeutics for disorders of the central nervous system (the “Takeda Collaboration Agreement”). On October 11, 2024, the Company was notified by Takeda that Takeda did not intend to exercise and therefore elected to terminate its option for the HD target under the collaboration. As HD was the last active collaboration target under the collaboration, the collaboration expired with immediate effect. As a result of the option termination, the Company is now free to advance WVE-003, its clinical-stage HD program, as well as any other programs targeting Huntingtin (“HTT”), independently or with other partners.</w:t>
      </w:r>
    </w:p>
    <w:p>
      <w:pPr>
        <w:spacing w:after="0" w:line="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231F20"/>
        </w:rPr>
        <w:t>During the year ended December 31, 2025, the Company recognized no revenue and in the years ended December 31, 2024 and 2023, the Company recognized $71.3 million and $47.0 million in revenue, respectively, under the Takeda Collaboration Agreement in the Company’s consolidated statements of operations and comprehensive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6. SHARE CAPITAL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represents the Company’s financing transactions during the years ended December 31, 2025, 2024, and 2023:</w:t>
      </w:r>
    </w:p>
    <w:p>
      <w:pPr>
        <w:spacing w:after="0" w:line="135" w:lineRule="exact"/>
        <w:rPr>
          <w:sz w:val="20"/>
          <w:szCs w:val="20"/>
          <w:color w:val="auto"/>
        </w:rPr>
      </w:pPr>
    </w:p>
    <w:p>
      <w:pPr>
        <w:ind w:left="700" w:right="100" w:hanging="352"/>
        <w:spacing w:after="0" w:line="258" w:lineRule="auto"/>
        <w:tabs>
          <w:tab w:leader="none" w:pos="700" w:val="left"/>
        </w:tabs>
        <w:numPr>
          <w:ilvl w:val="0"/>
          <w:numId w:val="57"/>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Company entered into the Sales Agreement (as defined below) with Jefferies LLC ("Jefferies"). During the years ended December 31, 2025, 2024, and 2023, the Company sold 12,226,623, 2,952,591, and 751,688 ordinary shares, respectively, under its "at-the-market" equity program for aggregate net proceeds of $94.6 million, $20.4 million, and $3.1 million, respectively, after deducting commissions and offering expenses.</w:t>
      </w:r>
    </w:p>
    <w:p>
      <w:pPr>
        <w:spacing w:after="0" w:line="81" w:lineRule="exact"/>
        <w:rPr>
          <w:rFonts w:ascii="Arial" w:cs="Arial" w:eastAsia="Arial" w:hAnsi="Arial"/>
          <w:sz w:val="19"/>
          <w:szCs w:val="19"/>
          <w:color w:val="231F20"/>
        </w:rPr>
      </w:pPr>
    </w:p>
    <w:p>
      <w:pPr>
        <w:ind w:left="700" w:right="60" w:hanging="352"/>
        <w:spacing w:after="0" w:line="248" w:lineRule="auto"/>
        <w:tabs>
          <w:tab w:leader="none" w:pos="700" w:val="left"/>
        </w:tabs>
        <w:numPr>
          <w:ilvl w:val="0"/>
          <w:numId w:val="57"/>
        </w:numPr>
        <w:rPr>
          <w:rFonts w:ascii="Arial" w:cs="Arial" w:eastAsia="Arial" w:hAnsi="Arial"/>
          <w:sz w:val="19"/>
          <w:szCs w:val="19"/>
          <w:color w:val="231F20"/>
        </w:rPr>
      </w:pPr>
      <w:r>
        <w:rPr>
          <w:rFonts w:ascii="Times New Roman" w:cs="Times New Roman" w:eastAsia="Times New Roman" w:hAnsi="Times New Roman"/>
          <w:sz w:val="19"/>
          <w:szCs w:val="19"/>
          <w:color w:val="231F20"/>
        </w:rPr>
        <w:t>On December 11, 2023, the Company closed an underwritten public offering (the “December 2023 Offering”) in which the Company issued and sold 20,000,000 of the Company's ordinary shares at a price of $5.00 per share. The gross proceeds to the Company from the December 2023 Offering were $100.0 million before deducting underwriting discounts and commissions and other offering expenses. The net proceeds to the Company from the December 2023 Offering during the year ended December 31, 2023, were approximately $93.6 million, after deducting underwriting discounts and offering expenses. On January 4, 2024, the Company closed on the sale of an additional 3,000,000 ordinary shares at a price of $5.00 per share after the underwriters exercised their option to purchase the additional shares in full, which increased the aggregate number of ordinary shares sold in the December 2023 Offering to 23,000,000. The Company’s aggregate gross proceeds from the December 2023 Offering were $115.0 million, before deducting underwriting discounts and commissions and offering expenses; $15.0 million of which relates to the exercise of the underwriters’ option in January 2024. Subsequent to December 31, 2023, the Company received $14.0 million in net proceeds after deducting the underwriting discounts and commissions and offering expenses related to the December 2023 Offering.</w:t>
      </w:r>
    </w:p>
    <w:p>
      <w:pPr>
        <w:spacing w:after="0" w:line="96" w:lineRule="exact"/>
        <w:rPr>
          <w:rFonts w:ascii="Arial" w:cs="Arial" w:eastAsia="Arial" w:hAnsi="Arial"/>
          <w:sz w:val="19"/>
          <w:szCs w:val="19"/>
          <w:color w:val="231F20"/>
        </w:rPr>
      </w:pPr>
    </w:p>
    <w:p>
      <w:pPr>
        <w:ind w:left="700" w:hanging="351"/>
        <w:spacing w:after="0" w:line="248" w:lineRule="auto"/>
        <w:tabs>
          <w:tab w:leader="none" w:pos="701" w:val="left"/>
        </w:tabs>
        <w:numPr>
          <w:ilvl w:val="0"/>
          <w:numId w:val="57"/>
        </w:numPr>
        <w:rPr>
          <w:rFonts w:ascii="Arial" w:cs="Arial" w:eastAsia="Arial" w:hAnsi="Arial"/>
          <w:sz w:val="19"/>
          <w:szCs w:val="19"/>
          <w:color w:val="231F20"/>
        </w:rPr>
      </w:pPr>
      <w:r>
        <w:rPr>
          <w:rFonts w:ascii="Times New Roman" w:cs="Times New Roman" w:eastAsia="Times New Roman" w:hAnsi="Times New Roman"/>
          <w:sz w:val="19"/>
          <w:szCs w:val="19"/>
          <w:color w:val="231F20"/>
        </w:rPr>
        <w:t>On September 27, 2024, the Company closed an underwritten public offering (the "September 2024 Offering") in which the Company issued and sold 23,125,001 of the Company’s ordinary shares at a price of $8.00 per share and pre-funded warrants (the “2024 Pre-Funded Warrants”) to purchase up to 1,875,023 of the Company’s ordinary shares at an offering price of $7.9999 per 2024 Pre-Funded Warrant, which represents the per share offering price for the ordinary shares less the $0.0001 per share exercise price for each 2024 Pre-Funded Warrant. These 2024 Pre-Funded Warrants were recorded as a component of shareholders’ equity within additional paid-in capital. The gross proceeds to the Company from the September 2024 Offering were $200.0 million before deducting underwriting discounts and commissions and other offering expenses. The net proceeds to the Company from the September 2024 Offering were approximately $187.5 million, after deducting underwriting commissions and offering expenses. The 2024 Pre-Funded Warrants are exercisable at any time after their original issuance and on or prior to the five-year anniversary of the original issuance date. A holder of the 2024 Pre-Funded Warrants may not exercise the warrant if the holder, together with its affiliates, would beneficially own more than 4.99% (or at the election of such holder, 9.99% or 19.99%) of the number of the Company’s ordinary shares outstanding or more than 4.99% (or at the election of such holder, 9.99% or 19.99%) of the combined voting power of the Company’s securities outstanding immediately after giving effect to such exercise, unless and until shareholder approval is obtained.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F-17</w:t>
      </w:r>
    </w:p>
    <w:p>
      <w:pPr>
        <w:sectPr>
          <w:pgSz w:w="11880" w:h="15480" w:orient="portrait"/>
          <w:cols w:equalWidth="0" w:num="1">
            <w:col w:w="10440"/>
          </w:cols>
          <w:pgMar w:left="700" w:top="963" w:right="740" w:bottom="213" w:gutter="0" w:footer="0" w:header="0"/>
        </w:sectPr>
      </w:pPr>
    </w:p>
    <w:bookmarkStart w:id="121" w:name="page122"/>
    <w:bookmarkEnd w:id="121"/>
    <w:p>
      <w:pPr>
        <w:ind w:left="700" w:right="160" w:hanging="351"/>
        <w:spacing w:after="0" w:line="255" w:lineRule="auto"/>
        <w:tabs>
          <w:tab w:leader="none" w:pos="700" w:val="left"/>
        </w:tabs>
        <w:numPr>
          <w:ilvl w:val="0"/>
          <w:numId w:val="58"/>
        </w:numPr>
        <w:rPr>
          <w:rFonts w:ascii="Arial" w:cs="Arial" w:eastAsia="Arial" w:hAnsi="Arial"/>
          <w:sz w:val="19"/>
          <w:szCs w:val="19"/>
          <w:color w:val="231F20"/>
        </w:rPr>
      </w:pPr>
      <w:r>
        <w:rPr>
          <w:rFonts w:ascii="Times New Roman" w:cs="Times New Roman" w:eastAsia="Times New Roman" w:hAnsi="Times New Roman"/>
          <w:sz w:val="19"/>
          <w:szCs w:val="19"/>
          <w:color w:val="231F20"/>
        </w:rPr>
        <w:t>On October 1, 2024, the representatives of the underwriters in connection with the September 2024 Offering exercised their option in full to purchase an additional 3,750,000 ordinary shares, which increased the aggregate number of ordinary shares sold in the September 2024 Offering to 26,875,001. The Company’s aggregate gross proceeds from the September 2024 Offering were $230.0 million, before deducting underwriting discounts and commissions and offering expenses; $30.0 million of which relates to the exercise of the underwriters’ option in October 2024.</w:t>
      </w:r>
    </w:p>
    <w:p>
      <w:pPr>
        <w:spacing w:after="0" w:line="84" w:lineRule="exact"/>
        <w:rPr>
          <w:rFonts w:ascii="Arial" w:cs="Arial" w:eastAsia="Arial" w:hAnsi="Arial"/>
          <w:sz w:val="19"/>
          <w:szCs w:val="19"/>
          <w:color w:val="231F20"/>
        </w:rPr>
      </w:pPr>
    </w:p>
    <w:p>
      <w:pPr>
        <w:ind w:left="700" w:right="40" w:hanging="351"/>
        <w:spacing w:after="0" w:line="251" w:lineRule="auto"/>
        <w:tabs>
          <w:tab w:leader="none" w:pos="700" w:val="left"/>
        </w:tabs>
        <w:numPr>
          <w:ilvl w:val="0"/>
          <w:numId w:val="58"/>
        </w:numPr>
        <w:rPr>
          <w:rFonts w:ascii="Arial" w:cs="Arial" w:eastAsia="Arial" w:hAnsi="Arial"/>
          <w:sz w:val="19"/>
          <w:szCs w:val="19"/>
          <w:color w:val="231F20"/>
        </w:rPr>
      </w:pPr>
      <w:r>
        <w:rPr>
          <w:rFonts w:ascii="Times New Roman" w:cs="Times New Roman" w:eastAsia="Times New Roman" w:hAnsi="Times New Roman"/>
          <w:sz w:val="19"/>
          <w:szCs w:val="19"/>
          <w:color w:val="231F20"/>
        </w:rPr>
        <w:t>On November 12, 2024, the Company filed an automatic shelf registration statement on Form S-3ASR with the SEC for which the Company registered for sale an indeterminate amount of any combination of its ordinary shares, debt securities, warrants, rights and/or units from time to time and at prices and on terms that the Company may determine, which is referred to as the “2024 WKSI Shelf”. The 2024 WKSI Shelf includes a prospectus covering up to an aggregate of $250.0 million in ordinary shares that the Company is able to issue and sell from time to time, through Jefferies acting as its sales agent, pursuant to the Open Market Sale Agreement, dated May 10, 2019, as amended by Amendment No. 1, dated as of March 2, 2020, Amendment No. 2, dated as of March 3, 2022, and Amendment No. 3, dated as of November 12, 2024, (as amended, the “Sales Agreement”), for its “at-the-market” equity program.</w:t>
      </w:r>
    </w:p>
    <w:p>
      <w:pPr>
        <w:spacing w:after="0" w:line="85" w:lineRule="exact"/>
        <w:rPr>
          <w:rFonts w:ascii="Arial" w:cs="Arial" w:eastAsia="Arial" w:hAnsi="Arial"/>
          <w:sz w:val="19"/>
          <w:szCs w:val="19"/>
          <w:color w:val="231F20"/>
        </w:rPr>
      </w:pPr>
    </w:p>
    <w:p>
      <w:pPr>
        <w:ind w:left="700" w:right="200" w:hanging="351"/>
        <w:spacing w:after="0" w:line="260" w:lineRule="auto"/>
        <w:tabs>
          <w:tab w:leader="none" w:pos="700" w:val="left"/>
        </w:tabs>
        <w:numPr>
          <w:ilvl w:val="0"/>
          <w:numId w:val="58"/>
        </w:numPr>
        <w:rPr>
          <w:rFonts w:ascii="Arial" w:cs="Arial" w:eastAsia="Arial" w:hAnsi="Arial"/>
          <w:sz w:val="19"/>
          <w:szCs w:val="19"/>
          <w:color w:val="231F20"/>
        </w:rPr>
      </w:pPr>
      <w:r>
        <w:rPr>
          <w:rFonts w:ascii="Times New Roman" w:cs="Times New Roman" w:eastAsia="Times New Roman" w:hAnsi="Times New Roman"/>
          <w:sz w:val="19"/>
          <w:szCs w:val="19"/>
          <w:color w:val="231F20"/>
        </w:rPr>
        <w:t>On December 11, 2025, the Company closed an underwritten public offering (the “December 2025 Offering”) in which the Company issued and sold 18,552,632 of the Company’s ordinary shares at a price of $19.00 per share, including</w:t>
      </w:r>
    </w:p>
    <w:p>
      <w:pPr>
        <w:ind w:left="700" w:firstLine="1"/>
        <w:spacing w:after="0" w:line="246" w:lineRule="auto"/>
        <w:rPr>
          <w:rFonts w:ascii="Arial" w:cs="Arial" w:eastAsia="Arial" w:hAnsi="Arial"/>
          <w:sz w:val="19"/>
          <w:szCs w:val="19"/>
          <w:color w:val="231F20"/>
        </w:rPr>
      </w:pPr>
      <w:r>
        <w:rPr>
          <w:rFonts w:ascii="Times New Roman" w:cs="Times New Roman" w:eastAsia="Times New Roman" w:hAnsi="Times New Roman"/>
          <w:sz w:val="19"/>
          <w:szCs w:val="19"/>
          <w:color w:val="231F20"/>
        </w:rPr>
        <w:t>2,763,157 ordinary shares issued and sold pursuant to the underwriter's exercise in full of their option to purchase additional shares, and pre-funded warrants (the “2025 Pre-Funded Warrants”) to purchase up to 2,631,578 of the Company’s ordinary shares at an offering price of $18.9999 per 2025 Pre-Funded Warrant, which represents the per share offering price for the ordinary shares less the $0.0001 per share exercise price for each 2025 Pre-Funded Warrant. These 2025 Pre-Funded Warrants were recorded as a component of shareholders’ equity within additional paid-in capital. The gross proceeds to the Company from the December 2025 Offering were approximately $402.5 million before deducting underwriting discounts and commissions and other offering expenses, and including gross proceeds from the exercise of the Underwriters’ option to purchase additional shares in full. The 2025 Pre-Funded Warrants are exercisable at any time after their original issuance and on or prior to the five-year anniversary of the original issuance date. A holder of the 2025 Pre-Funded Warrants may not exercise the warrant if the holder, together with its affiliates, would beneficially own more than 4.99% (or at the election of such holder, 9.99% or 19.99%) of the number of the Company’s ordinary shares outstanding or more than 4.99% (or at the election of such holder, 9.99% or 19.99%) of the combined voting power of the Company’s securities outstanding immediately after giving effect to such exercise, unless and until shareholder approval is obtained.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Features of the Series A Preferred Shares and Ordinary Shares</w:t>
      </w:r>
    </w:p>
    <w:p>
      <w:pPr>
        <w:spacing w:after="0" w:line="11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9"/>
          <w:szCs w:val="19"/>
          <w:color w:val="231F20"/>
        </w:rPr>
        <w:t>The Series A preferred shares and ordinary shares have no par value and there is no concept of authorized share capital under Singapore law. The Series A preferred shares are not redeemable and have no entitlement to dividends.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Voting</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The holders of Series A preferred shares are not entitled to vote on any of the matters proposed to shareholders, other than as specified in the Company's Constitution. The holders of ordinary shares are entitled to one vote for each ordinary share held at all meetings of shareholders and written actions in lieu of meetings.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Dividends</w:t>
      </w:r>
    </w:p>
    <w:p>
      <w:pPr>
        <w:spacing w:after="0" w:line="11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All dividends, if any, shall be declared and paid pro rata according to the number of ordinary shares held by each member entitled to receive dividends. The Company’s board of directors may deduct from any dividend all sums of money presently payable by the member to the Company on account of calls.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Liquidation</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231F20"/>
        </w:rPr>
        <w:t>In the event of a liquidation, dissolution or winding up of, or a return of capital by the Company, the ordinary shares will rank equally with the Series A preferred shares after the payment of the liquidation preference of an aggregate of approximately $10 thousand for Series A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F-18</w:t>
      </w:r>
    </w:p>
    <w:p>
      <w:pPr>
        <w:sectPr>
          <w:pgSz w:w="11880" w:h="15480" w:orient="portrait"/>
          <w:cols w:equalWidth="0" w:num="1">
            <w:col w:w="10460"/>
          </w:cols>
          <w:pgMar w:left="700" w:top="977" w:right="720" w:bottom="213"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b w:val="1"/>
          <w:bCs w:val="1"/>
          <w:color w:val="231F20"/>
        </w:rPr>
        <w:t>7. SHARE-BASED COMPENSATION</w:t>
      </w:r>
    </w:p>
    <w:p>
      <w:pPr>
        <w:spacing w:after="0" w:line="16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231F20"/>
        </w:rPr>
        <w:t>The Wave Life Sciences Ltd. 2021 Equity Incentive Plan was approved by the Company’s shareholders and went into effect on August 10, 2021 and was amended effective as of August 9, 2022, August 1, 2023, August 6, 2024, and August 5, 2025 (as amended, the “2021 Plan”). The 2021 Plan serves as the successor to the Wave Life Sciences Ltd. 2014 Equity Incentive Plan, as amended (the “2014 Plan”), such that outstanding awards granted under the 2014 Plan continue to be governed by the terms of the 2014 Plan, but no awards may be made under the 2014 Plan after August 10, 2021. The aggregate number of ordinary shares authorized for issuance of awards under the 2021 Plan was originally 5,450,000 ordinary shares, and was subsequently increased to 11,450,000, 17,950,000, 22,950,000, and 30,950,000 in August 2022, August 2023, August 2024, and August 2025 respectively, plus the number of ordinary shares underlying any awards under the 2014 Plan that are forfeited, cancelled or otherwise terminated (other than by exercise or withheld by the Company to satisfy any tax withholding obligation) on or after August 10, 2021.</w:t>
      </w:r>
    </w:p>
    <w:p>
      <w:pPr>
        <w:spacing w:after="0" w:line="7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The 2021 Plan authorizes (and the 2014 Plan previously authorized) the board of directors or a committee of the board of directors to, among other things, grant non-qualified share options, restricted awards, which include restricted shares and restricted share units (“RSUs”), and performance awards to eligible employees, consultants, and non-employee directors of the Company. The Company accounts for grants to its non-employee directors as grants to employees.</w:t>
      </w:r>
    </w:p>
    <w:p>
      <w:pPr>
        <w:spacing w:after="0" w:line="6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9"/>
          <w:szCs w:val="19"/>
          <w:color w:val="231F20"/>
        </w:rPr>
        <w:t>As of December 31, 2025, 9,808,797 ordinary shares remained available for future grant under the 2021 Plan. In accordance with Nasdaq Listing Rule 5635(c)(4), the board of directors or a committee of the board may also issue inducement grants outside of the 2021 Plan, as an inducement material to an individual's entering into employment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Options and RSUs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Share option activity is summarized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line="179" w:lineRule="exact"/>
              <w:rPr>
                <w:sz w:val="20"/>
                <w:szCs w:val="20"/>
                <w:color w:val="auto"/>
              </w:rPr>
            </w:pPr>
            <w:r>
              <w:rPr>
                <w:rFonts w:ascii="Times New Roman" w:cs="Times New Roman" w:eastAsia="Times New Roman" w:hAnsi="Times New Roman"/>
                <w:sz w:val="16"/>
                <w:szCs w:val="16"/>
                <w:b w:val="1"/>
                <w:bCs w:val="1"/>
                <w:color w:val="231F20"/>
                <w:w w:val="96"/>
              </w:rPr>
              <w:t>Aggregate</w:t>
            </w:r>
          </w:p>
        </w:tc>
        <w:tc>
          <w:tcPr>
            <w:tcW w:w="0" w:type="dxa"/>
            <w:vAlign w:val="bottom"/>
          </w:tcPr>
          <w:p>
            <w:pPr>
              <w:spacing w:after="0"/>
              <w:rPr>
                <w:sz w:val="1"/>
                <w:szCs w:val="1"/>
                <w:color w:val="auto"/>
              </w:rPr>
            </w:pPr>
          </w:p>
        </w:tc>
      </w:tr>
      <w:tr>
        <w:trPr>
          <w:trHeight w:val="179"/>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8"/>
              <w:spacing w:after="0" w:line="179" w:lineRule="exact"/>
              <w:rPr>
                <w:sz w:val="20"/>
                <w:szCs w:val="20"/>
                <w:color w:val="auto"/>
              </w:rPr>
            </w:pPr>
            <w:r>
              <w:rPr>
                <w:rFonts w:ascii="Times New Roman" w:cs="Times New Roman" w:eastAsia="Times New Roman" w:hAnsi="Times New Roman"/>
                <w:sz w:val="16"/>
                <w:szCs w:val="16"/>
                <w:b w:val="1"/>
                <w:bCs w:val="1"/>
                <w:color w:val="231F20"/>
                <w:w w:val="95"/>
              </w:rPr>
              <w:t>Weighted-</w:t>
            </w:r>
          </w:p>
        </w:tc>
        <w:tc>
          <w:tcPr>
            <w:tcW w:w="220" w:type="dxa"/>
            <w:vAlign w:val="bottom"/>
          </w:tcPr>
          <w:p>
            <w:pPr>
              <w:spacing w:after="0"/>
              <w:rPr>
                <w:sz w:val="15"/>
                <w:szCs w:val="15"/>
                <w:color w:val="auto"/>
              </w:rPr>
            </w:pPr>
          </w:p>
        </w:tc>
        <w:tc>
          <w:tcPr>
            <w:tcW w:w="11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6"/>
              </w:rPr>
              <w:t>Remaining</w:t>
            </w:r>
          </w:p>
        </w:tc>
        <w:tc>
          <w:tcPr>
            <w:tcW w:w="220" w:type="dxa"/>
            <w:vAlign w:val="bottom"/>
          </w:tcPr>
          <w:p>
            <w:pPr>
              <w:spacing w:after="0"/>
              <w:rPr>
                <w:sz w:val="15"/>
                <w:szCs w:val="15"/>
                <w:color w:val="auto"/>
              </w:rPr>
            </w:pPr>
          </w:p>
        </w:tc>
        <w:tc>
          <w:tcPr>
            <w:tcW w:w="1180" w:type="dxa"/>
            <w:vAlign w:val="bottom"/>
            <w:gridSpan w:val="3"/>
          </w:tcPr>
          <w:p>
            <w:pPr>
              <w:jc w:val="center"/>
              <w:ind w:right="100"/>
              <w:spacing w:after="0" w:line="179" w:lineRule="exact"/>
              <w:rPr>
                <w:sz w:val="20"/>
                <w:szCs w:val="20"/>
                <w:color w:val="auto"/>
              </w:rPr>
            </w:pPr>
            <w:r>
              <w:rPr>
                <w:rFonts w:ascii="Times New Roman" w:cs="Times New Roman" w:eastAsia="Times New Roman" w:hAnsi="Times New Roman"/>
                <w:sz w:val="16"/>
                <w:szCs w:val="16"/>
                <w:b w:val="1"/>
                <w:bCs w:val="1"/>
                <w:color w:val="231F20"/>
                <w:w w:val="97"/>
              </w:rPr>
              <w:t>Intrinsic Value</w:t>
            </w:r>
          </w:p>
        </w:tc>
        <w:tc>
          <w:tcPr>
            <w:tcW w:w="0" w:type="dxa"/>
            <w:vAlign w:val="bottom"/>
          </w:tcPr>
          <w:p>
            <w:pPr>
              <w:spacing w:after="0"/>
              <w:rPr>
                <w:sz w:val="1"/>
                <w:szCs w:val="1"/>
                <w:color w:val="auto"/>
              </w:rPr>
            </w:pPr>
          </w:p>
        </w:tc>
      </w:tr>
      <w:tr>
        <w:trPr>
          <w:trHeight w:val="177"/>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right"/>
              <w:ind w:right="219"/>
              <w:spacing w:after="0" w:line="177" w:lineRule="exact"/>
              <w:rPr>
                <w:sz w:val="20"/>
                <w:szCs w:val="20"/>
                <w:color w:val="auto"/>
              </w:rPr>
            </w:pPr>
            <w:r>
              <w:rPr>
                <w:rFonts w:ascii="Times New Roman" w:cs="Times New Roman" w:eastAsia="Times New Roman" w:hAnsi="Times New Roman"/>
                <w:sz w:val="16"/>
                <w:szCs w:val="16"/>
                <w:b w:val="1"/>
                <w:bCs w:val="1"/>
                <w:color w:val="231F20"/>
              </w:rPr>
              <w:t>Number of</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8"/>
              <w:spacing w:after="0" w:line="177"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220" w:type="dxa"/>
            <w:vAlign w:val="bottom"/>
          </w:tcPr>
          <w:p>
            <w:pPr>
              <w:spacing w:after="0"/>
              <w:rPr>
                <w:sz w:val="15"/>
                <w:szCs w:val="15"/>
                <w:color w:val="auto"/>
              </w:rPr>
            </w:pPr>
          </w:p>
        </w:tc>
        <w:tc>
          <w:tcPr>
            <w:tcW w:w="11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231F20"/>
                <w:w w:val="96"/>
              </w:rPr>
              <w:t>Contractual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6"/>
                <w:szCs w:val="16"/>
                <w:b w:val="1"/>
                <w:bCs w:val="1"/>
                <w:color w:val="231F20"/>
                <w:w w:val="96"/>
              </w:rPr>
              <w:t>(in</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14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Exercise Price</w:t>
            </w: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Term (in years)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line="195" w:lineRule="exact"/>
              <w:rPr>
                <w:sz w:val="20"/>
                <w:szCs w:val="20"/>
                <w:color w:val="auto"/>
              </w:rPr>
            </w:pPr>
            <w:r>
              <w:rPr>
                <w:rFonts w:ascii="Times New Roman" w:cs="Times New Roman" w:eastAsia="Times New Roman" w:hAnsi="Times New Roman"/>
                <w:sz w:val="16"/>
                <w:szCs w:val="16"/>
                <w:b w:val="1"/>
                <w:bCs w:val="1"/>
                <w:color w:val="231F20"/>
                <w:w w:val="93"/>
              </w:rPr>
              <w:t>thousands)</w:t>
            </w:r>
            <w:r>
              <w:rPr>
                <w:rFonts w:ascii="Times New Roman" w:cs="Times New Roman" w:eastAsia="Times New Roman" w:hAnsi="Times New Roman"/>
                <w:sz w:val="19"/>
                <w:szCs w:val="19"/>
                <w:b w:val="1"/>
                <w:bCs w:val="1"/>
                <w:color w:val="231F20"/>
                <w:w w:val="93"/>
                <w:vertAlign w:val="superscript"/>
              </w:rPr>
              <w:t>(1)</w:t>
            </w:r>
          </w:p>
        </w:tc>
        <w:tc>
          <w:tcPr>
            <w:tcW w:w="0" w:type="dxa"/>
            <w:vAlign w:val="bottom"/>
          </w:tcPr>
          <w:p>
            <w:pPr>
              <w:spacing w:after="0"/>
              <w:rPr>
                <w:sz w:val="1"/>
                <w:szCs w:val="1"/>
                <w:color w:val="auto"/>
              </w:rPr>
            </w:pPr>
          </w:p>
        </w:tc>
      </w:tr>
      <w:tr>
        <w:trPr>
          <w:trHeight w:val="227"/>
        </w:trPr>
        <w:tc>
          <w:tcPr>
            <w:tcW w:w="524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Outstanding as of January 1, 2025</w:t>
            </w:r>
          </w:p>
        </w:tc>
        <w:tc>
          <w:tcPr>
            <w:tcW w:w="10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112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shd w:val="clear" w:color="auto" w:fill="E2E3E4"/>
              </w:rPr>
              <w:t>19,453,131</w:t>
            </w:r>
          </w:p>
        </w:tc>
        <w:tc>
          <w:tcPr>
            <w:tcW w:w="80" w:type="dxa"/>
            <w:vAlign w:val="bottom"/>
            <w:tcBorders>
              <w:top w:val="single" w:sz="8" w:color="E2E3E4"/>
            </w:tcBorders>
            <w:shd w:val="clear" w:color="auto" w:fill="E2E3E4"/>
          </w:tcPr>
          <w:p>
            <w:pPr>
              <w:spacing w:after="0"/>
              <w:rPr>
                <w:sz w:val="19"/>
                <w:szCs w:val="19"/>
                <w:color w:val="auto"/>
              </w:rPr>
            </w:pPr>
          </w:p>
        </w:tc>
        <w:tc>
          <w:tcPr>
            <w:tcW w:w="14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40" w:type="dxa"/>
            <w:vAlign w:val="bottom"/>
            <w:tcBorders>
              <w:top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5.78</w:t>
            </w:r>
          </w:p>
        </w:tc>
        <w:tc>
          <w:tcPr>
            <w:tcW w:w="220" w:type="dxa"/>
            <w:vAlign w:val="bottom"/>
            <w:tcBorders>
              <w:top w:val="single" w:sz="8" w:color="E2E3E4"/>
            </w:tcBorders>
            <w:shd w:val="clear" w:color="auto" w:fill="E2E3E4"/>
          </w:tcPr>
          <w:p>
            <w:pPr>
              <w:spacing w:after="0"/>
              <w:rPr>
                <w:sz w:val="19"/>
                <w:szCs w:val="19"/>
                <w:color w:val="auto"/>
              </w:rPr>
            </w:pPr>
          </w:p>
        </w:tc>
        <w:tc>
          <w:tcPr>
            <w:tcW w:w="1120" w:type="dxa"/>
            <w:vAlign w:val="bottom"/>
            <w:tcBorders>
              <w:top w:val="single" w:sz="8" w:color="231F20"/>
            </w:tcBorders>
            <w:shd w:val="clear" w:color="auto" w:fill="E2E3E4"/>
          </w:tcPr>
          <w:p>
            <w:pPr>
              <w:spacing w:after="0"/>
              <w:rPr>
                <w:sz w:val="19"/>
                <w:szCs w:val="19"/>
                <w:color w:val="auto"/>
              </w:rPr>
            </w:pPr>
          </w:p>
        </w:tc>
        <w:tc>
          <w:tcPr>
            <w:tcW w:w="22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spacing w:after="0"/>
              <w:rPr>
                <w:sz w:val="19"/>
                <w:szCs w:val="19"/>
                <w:color w:val="auto"/>
              </w:rPr>
            </w:pPr>
          </w:p>
        </w:tc>
        <w:tc>
          <w:tcPr>
            <w:tcW w:w="980" w:type="dxa"/>
            <w:vAlign w:val="bottom"/>
            <w:tcBorders>
              <w:top w:val="single" w:sz="8" w:color="231F20"/>
            </w:tcBorders>
            <w:shd w:val="clear" w:color="auto" w:fill="E2E3E4"/>
          </w:tcPr>
          <w:p>
            <w:pPr>
              <w:spacing w:after="0"/>
              <w:rPr>
                <w:sz w:val="19"/>
                <w:szCs w:val="19"/>
                <w:color w:val="auto"/>
              </w:rPr>
            </w:pPr>
          </w:p>
        </w:tc>
        <w:tc>
          <w:tcPr>
            <w:tcW w:w="100" w:type="dxa"/>
            <w:vAlign w:val="bottom"/>
            <w:tcBorders>
              <w:top w:val="single" w:sz="8" w:color="E2E3E4"/>
            </w:tcBorders>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Granted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5,030,825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10.37</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E2E3E4"/>
          </w:tcPr>
          <w:p>
            <w:pPr>
              <w:ind w:left="100"/>
              <w:spacing w:after="0"/>
              <w:rPr>
                <w:sz w:val="20"/>
                <w:szCs w:val="20"/>
                <w:color w:val="auto"/>
              </w:rPr>
            </w:pPr>
            <w:r>
              <w:rPr>
                <w:rFonts w:ascii="Times New Roman" w:cs="Times New Roman" w:eastAsia="Times New Roman" w:hAnsi="Times New Roman"/>
                <w:sz w:val="19"/>
                <w:szCs w:val="19"/>
                <w:color w:val="231F20"/>
              </w:rPr>
              <w:t>Exercised</w:t>
            </w:r>
          </w:p>
        </w:tc>
        <w:tc>
          <w:tcPr>
            <w:tcW w:w="10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1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(3,428,883</w:t>
            </w: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4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94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4.34</w:t>
            </w:r>
          </w:p>
        </w:tc>
        <w:tc>
          <w:tcPr>
            <w:tcW w:w="220" w:type="dxa"/>
            <w:vAlign w:val="bottom"/>
            <w:shd w:val="clear" w:color="auto" w:fill="E2E3E4"/>
          </w:tcPr>
          <w:p>
            <w:pPr>
              <w:spacing w:after="0"/>
              <w:rPr>
                <w:sz w:val="20"/>
                <w:szCs w:val="20"/>
                <w:color w:val="auto"/>
              </w:rPr>
            </w:pPr>
          </w:p>
        </w:tc>
        <w:tc>
          <w:tcPr>
            <w:tcW w:w="1120" w:type="dxa"/>
            <w:vAlign w:val="bottom"/>
            <w:shd w:val="clear" w:color="auto" w:fill="E2E3E4"/>
          </w:tcPr>
          <w:p>
            <w:pPr>
              <w:spacing w:after="0"/>
              <w:rPr>
                <w:sz w:val="20"/>
                <w:szCs w:val="20"/>
                <w:color w:val="auto"/>
              </w:rPr>
            </w:pPr>
          </w:p>
        </w:tc>
        <w:tc>
          <w:tcPr>
            <w:tcW w:w="2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98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E2E3E4"/>
            </w:tcBorders>
          </w:tcPr>
          <w:p>
            <w:pPr>
              <w:ind w:left="100"/>
              <w:spacing w:after="0"/>
              <w:rPr>
                <w:sz w:val="20"/>
                <w:szCs w:val="20"/>
                <w:color w:val="auto"/>
              </w:rPr>
            </w:pPr>
            <w:r>
              <w:rPr>
                <w:rFonts w:ascii="Times New Roman" w:cs="Times New Roman" w:eastAsia="Times New Roman" w:hAnsi="Times New Roman"/>
                <w:sz w:val="19"/>
                <w:szCs w:val="19"/>
                <w:color w:val="231F20"/>
              </w:rPr>
              <w:t>Forfeited or cancelled</w:t>
            </w: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(728,202</w:t>
            </w:r>
          </w:p>
        </w:tc>
        <w:tc>
          <w:tcPr>
            <w:tcW w:w="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6"/>
                <w:szCs w:val="16"/>
                <w:color w:val="231F20"/>
                <w:highlight w:val="white"/>
                <w:w w:val="74"/>
              </w:rPr>
              <w:t>)</w:t>
            </w:r>
          </w:p>
        </w:tc>
        <w:tc>
          <w:tcPr>
            <w:tcW w:w="14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9.70</w:t>
            </w:r>
          </w:p>
        </w:tc>
        <w:tc>
          <w:tcPr>
            <w:tcW w:w="220" w:type="dxa"/>
            <w:vAlign w:val="bottom"/>
            <w:tcBorders>
              <w:bottom w:val="single" w:sz="8" w:color="E2E3E4"/>
            </w:tcBorders>
          </w:tcPr>
          <w:p>
            <w:pPr>
              <w:spacing w:after="0"/>
              <w:rPr>
                <w:sz w:val="20"/>
                <w:szCs w:val="20"/>
                <w:color w:val="auto"/>
              </w:rPr>
            </w:pPr>
          </w:p>
        </w:tc>
        <w:tc>
          <w:tcPr>
            <w:tcW w:w="1120" w:type="dxa"/>
            <w:vAlign w:val="bottom"/>
            <w:tcBorders>
              <w:bottom w:val="single" w:sz="8" w:color="E2E3E4"/>
            </w:tcBorders>
          </w:tcPr>
          <w:p>
            <w:pPr>
              <w:spacing w:after="0"/>
              <w:rPr>
                <w:sz w:val="20"/>
                <w:szCs w:val="20"/>
                <w:color w:val="auto"/>
              </w:rPr>
            </w:pPr>
          </w:p>
        </w:tc>
        <w:tc>
          <w:tcPr>
            <w:tcW w:w="2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98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tcBorders>
              <w:bottom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Outstanding as of December 31, 2025</w:t>
            </w:r>
          </w:p>
        </w:tc>
        <w:tc>
          <w:tcPr>
            <w:tcW w:w="100" w:type="dxa"/>
            <w:vAlign w:val="bottom"/>
            <w:tcBorders>
              <w:bottom w:val="single" w:sz="8" w:color="E2E3E4"/>
            </w:tcBorders>
            <w:shd w:val="clear" w:color="auto" w:fill="E2E3E4"/>
          </w:tcPr>
          <w:p>
            <w:pPr>
              <w:spacing w:after="0"/>
              <w:rPr>
                <w:sz w:val="21"/>
                <w:szCs w:val="21"/>
                <w:color w:val="auto"/>
              </w:rPr>
            </w:pPr>
          </w:p>
        </w:tc>
        <w:tc>
          <w:tcPr>
            <w:tcW w:w="20" w:type="dxa"/>
            <w:vAlign w:val="bottom"/>
            <w:tcBorders>
              <w:bottom w:val="single" w:sz="8" w:color="E2E3E4"/>
            </w:tcBorders>
            <w:shd w:val="clear" w:color="auto" w:fill="E2E3E4"/>
          </w:tcPr>
          <w:p>
            <w:pPr>
              <w:spacing w:after="0"/>
              <w:rPr>
                <w:sz w:val="21"/>
                <w:szCs w:val="21"/>
                <w:color w:val="auto"/>
              </w:rPr>
            </w:pPr>
          </w:p>
        </w:tc>
        <w:tc>
          <w:tcPr>
            <w:tcW w:w="112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shd w:val="clear" w:color="auto" w:fill="E2E3E4"/>
              </w:rPr>
              <w:t>20,326,871</w:t>
            </w:r>
          </w:p>
        </w:tc>
        <w:tc>
          <w:tcPr>
            <w:tcW w:w="80" w:type="dxa"/>
            <w:vAlign w:val="bottom"/>
            <w:tcBorders>
              <w:bottom w:val="single" w:sz="8" w:color="E2E3E4"/>
            </w:tcBorders>
            <w:shd w:val="clear" w:color="auto" w:fill="E2E3E4"/>
          </w:tcPr>
          <w:p>
            <w:pPr>
              <w:spacing w:after="0"/>
              <w:rPr>
                <w:sz w:val="21"/>
                <w:szCs w:val="21"/>
                <w:color w:val="auto"/>
              </w:rPr>
            </w:pPr>
          </w:p>
        </w:tc>
        <w:tc>
          <w:tcPr>
            <w:tcW w:w="140" w:type="dxa"/>
            <w:vAlign w:val="bottom"/>
            <w:tcBorders>
              <w:bottom w:val="single" w:sz="8" w:color="E2E3E4"/>
            </w:tcBorders>
            <w:shd w:val="clear" w:color="auto" w:fill="E2E3E4"/>
          </w:tcPr>
          <w:p>
            <w:pPr>
              <w:spacing w:after="0"/>
              <w:rPr>
                <w:sz w:val="21"/>
                <w:szCs w:val="21"/>
                <w:color w:val="auto"/>
              </w:rPr>
            </w:pPr>
          </w:p>
        </w:tc>
        <w:tc>
          <w:tcPr>
            <w:tcW w:w="10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4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7.02</w:t>
            </w:r>
          </w:p>
        </w:tc>
        <w:tc>
          <w:tcPr>
            <w:tcW w:w="220" w:type="dxa"/>
            <w:vAlign w:val="bottom"/>
            <w:tcBorders>
              <w:bottom w:val="single" w:sz="8" w:color="E2E3E4"/>
            </w:tcBorders>
            <w:shd w:val="clear" w:color="auto" w:fill="E2E3E4"/>
          </w:tcPr>
          <w:p>
            <w:pPr>
              <w:spacing w:after="0"/>
              <w:rPr>
                <w:sz w:val="21"/>
                <w:szCs w:val="21"/>
                <w:color w:val="auto"/>
              </w:rPr>
            </w:pPr>
          </w:p>
        </w:tc>
        <w:tc>
          <w:tcPr>
            <w:tcW w:w="112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6.93</w:t>
            </w:r>
          </w:p>
        </w:tc>
        <w:tc>
          <w:tcPr>
            <w:tcW w:w="220" w:type="dxa"/>
            <w:vAlign w:val="bottom"/>
            <w:tcBorders>
              <w:bottom w:val="single" w:sz="8" w:color="E2E3E4"/>
            </w:tcBorders>
            <w:shd w:val="clear" w:color="auto" w:fill="E2E3E4"/>
          </w:tcPr>
          <w:p>
            <w:pPr>
              <w:spacing w:after="0"/>
              <w:rPr>
                <w:sz w:val="21"/>
                <w:szCs w:val="21"/>
                <w:color w:val="auto"/>
              </w:rPr>
            </w:pPr>
          </w:p>
        </w:tc>
        <w:tc>
          <w:tcPr>
            <w:tcW w:w="10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80" w:type="dxa"/>
            <w:vAlign w:val="bottom"/>
            <w:tcBorders>
              <w:bottom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213,257</w:t>
            </w:r>
          </w:p>
        </w:tc>
        <w:tc>
          <w:tcPr>
            <w:tcW w:w="100" w:type="dxa"/>
            <w:vAlign w:val="bottom"/>
            <w:tcBorders>
              <w:bottom w:val="single" w:sz="8" w:color="E2E3E4"/>
            </w:tcBorders>
            <w:shd w:val="clear" w:color="auto" w:fill="E2E3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Options exercisable as of December 31, 2025</w:t>
            </w: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6.70</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5.82</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116,543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40" w:type="dxa"/>
            <w:vAlign w:val="bottom"/>
            <w:vMerge w:val="continue"/>
          </w:tcPr>
          <w:p>
            <w:pPr>
              <w:spacing w:after="0"/>
              <w:rPr>
                <w:sz w:val="17"/>
                <w:szCs w:val="17"/>
                <w:color w:val="auto"/>
              </w:rPr>
            </w:pPr>
          </w:p>
        </w:tc>
        <w:tc>
          <w:tcPr>
            <w:tcW w:w="120" w:type="dxa"/>
            <w:vAlign w:val="bottom"/>
            <w:gridSpan w:val="2"/>
          </w:tcPr>
          <w:p>
            <w:pPr>
              <w:spacing w:after="0"/>
              <w:rPr>
                <w:sz w:val="17"/>
                <w:szCs w:val="17"/>
                <w:color w:val="auto"/>
              </w:rPr>
            </w:pPr>
          </w:p>
        </w:tc>
        <w:tc>
          <w:tcPr>
            <w:tcW w:w="1120" w:type="dxa"/>
            <w:vAlign w:val="bottom"/>
            <w:tcBorders>
              <w:top w:val="single" w:sz="8" w:color="231F20"/>
            </w:tcBorders>
          </w:tcPr>
          <w:p>
            <w:pPr>
              <w:jc w:val="right"/>
              <w:spacing w:after="0" w:line="202" w:lineRule="exact"/>
              <w:rPr>
                <w:sz w:val="20"/>
                <w:szCs w:val="20"/>
                <w:color w:val="auto"/>
              </w:rPr>
            </w:pPr>
            <w:r>
              <w:rPr>
                <w:rFonts w:ascii="Times New Roman" w:cs="Times New Roman" w:eastAsia="Times New Roman" w:hAnsi="Times New Roman"/>
                <w:sz w:val="19"/>
                <w:szCs w:val="19"/>
                <w:color w:val="231F20"/>
              </w:rPr>
              <w:t>10,309,498</w:t>
            </w:r>
          </w:p>
        </w:tc>
        <w:tc>
          <w:tcPr>
            <w:tcW w:w="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-506730</wp:posOffset>
                </wp:positionV>
                <wp:extent cx="665226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26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8999pt" to="523.8pt,-39.8999pt" o:allowincell="f" strokecolor="#FFFFFF" strokeweight="0.698pt"/>
            </w:pict>
          </mc:Fallback>
        </mc:AlternateContent>
      </w:r>
    </w:p>
    <w:p>
      <w:pPr>
        <w:spacing w:after="0" w:line="185" w:lineRule="exact"/>
        <w:rPr>
          <w:sz w:val="20"/>
          <w:szCs w:val="20"/>
          <w:color w:val="auto"/>
        </w:rPr>
      </w:pPr>
    </w:p>
    <w:p>
      <w:pPr>
        <w:ind w:left="480" w:right="280" w:hanging="480"/>
        <w:spacing w:after="0" w:line="266" w:lineRule="auto"/>
        <w:tabs>
          <w:tab w:leader="none" w:pos="480" w:val="left"/>
        </w:tabs>
        <w:numPr>
          <w:ilvl w:val="0"/>
          <w:numId w:val="5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Options generally vest over periods of one to four years, and options that are forfeited or cancelled are available to be granted again.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contractual life of options is generally five or ten years from the grant date.</w:t>
      </w:r>
    </w:p>
    <w:p>
      <w:pPr>
        <w:spacing w:after="0" w:line="93"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9"/>
          <w:szCs w:val="19"/>
          <w:color w:val="231F20"/>
        </w:rPr>
        <w:t>There were no equity grants made to consultants during the years ended December 31, 2023, 2024, and one equity grant to a consultant in 2025. The assumptions used in the Black-Scholes option pricing model to determine the fair value of share options granted to employees, consultants, and non-employee directors during the period were as follows:</w:t>
      </w:r>
    </w:p>
    <w:p>
      <w:pPr>
        <w:spacing w:after="0" w:line="178"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231F20"/>
            </w:tcBorders>
          </w:tcPr>
          <w:p>
            <w:pPr>
              <w:spacing w:after="0"/>
              <w:rPr>
                <w:sz w:val="17"/>
                <w:szCs w:val="17"/>
                <w:color w:val="auto"/>
              </w:rPr>
            </w:pPr>
          </w:p>
        </w:tc>
        <w:tc>
          <w:tcPr>
            <w:tcW w:w="3200" w:type="dxa"/>
            <w:vAlign w:val="bottom"/>
            <w:tcBorders>
              <w:bottom w:val="single" w:sz="8" w:color="231F20"/>
            </w:tcBorders>
            <w:gridSpan w:val="8"/>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800" w:type="dxa"/>
            <w:vAlign w:val="bottom"/>
            <w:tcBorders>
              <w:bottom w:val="single" w:sz="8" w:color="231F20"/>
            </w:tcBorders>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231F20"/>
                <w:w w:val="99"/>
              </w:rPr>
              <w:t>2025</w:t>
            </w:r>
          </w:p>
        </w:tc>
        <w:tc>
          <w:tcPr>
            <w:tcW w:w="1600" w:type="dxa"/>
            <w:vAlign w:val="bottom"/>
            <w:gridSpan w:val="4"/>
          </w:tcPr>
          <w:p>
            <w:pPr>
              <w:jc w:val="center"/>
              <w:ind w:left="70"/>
              <w:spacing w:after="0" w:line="183"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600" w:type="dxa"/>
            <w:vAlign w:val="bottom"/>
            <w:gridSpan w:val="4"/>
          </w:tcPr>
          <w:p>
            <w:pPr>
              <w:jc w:val="right"/>
              <w:ind w:right="483"/>
              <w:spacing w:after="0" w:line="183" w:lineRule="exact"/>
              <w:rPr>
                <w:sz w:val="20"/>
                <w:szCs w:val="20"/>
                <w:color w:val="auto"/>
              </w:rPr>
            </w:pPr>
            <w:r>
              <w:rPr>
                <w:rFonts w:ascii="Times New Roman" w:cs="Times New Roman" w:eastAsia="Times New Roman" w:hAnsi="Times New Roman"/>
                <w:sz w:val="16"/>
                <w:szCs w:val="16"/>
                <w:b w:val="1"/>
                <w:bCs w:val="1"/>
                <w:color w:val="231F20"/>
              </w:rPr>
              <w:t>2023</w:t>
            </w:r>
          </w:p>
        </w:tc>
      </w:tr>
      <w:tr>
        <w:trPr>
          <w:trHeight w:val="204"/>
        </w:trPr>
        <w:tc>
          <w:tcPr>
            <w:tcW w:w="3600" w:type="dxa"/>
            <w:vAlign w:val="bottom"/>
            <w:tcBorders>
              <w:top w:val="single" w:sz="8" w:color="E2E3E4"/>
            </w:tcBorders>
            <w:shd w:val="clear" w:color="auto" w:fill="E2E3E4"/>
          </w:tcPr>
          <w:p>
            <w:pPr>
              <w:spacing w:after="0" w:line="204" w:lineRule="exact"/>
              <w:rPr>
                <w:sz w:val="20"/>
                <w:szCs w:val="20"/>
                <w:color w:val="auto"/>
              </w:rPr>
            </w:pPr>
            <w:r>
              <w:rPr>
                <w:rFonts w:ascii="Times New Roman" w:cs="Times New Roman" w:eastAsia="Times New Roman" w:hAnsi="Times New Roman"/>
                <w:sz w:val="19"/>
                <w:szCs w:val="19"/>
                <w:color w:val="231F20"/>
              </w:rPr>
              <w:t>Risk-free interest rate</w:t>
            </w:r>
          </w:p>
        </w:tc>
        <w:tc>
          <w:tcPr>
            <w:tcW w:w="140" w:type="dxa"/>
            <w:vAlign w:val="bottom"/>
            <w:tcBorders>
              <w:top w:val="single" w:sz="8" w:color="E2E3E4"/>
            </w:tcBorders>
            <w:shd w:val="clear" w:color="auto" w:fill="E2E3E4"/>
          </w:tcPr>
          <w:p>
            <w:pPr>
              <w:spacing w:after="0"/>
              <w:rPr>
                <w:sz w:val="17"/>
                <w:szCs w:val="17"/>
                <w:color w:val="auto"/>
              </w:rPr>
            </w:pPr>
          </w:p>
        </w:tc>
        <w:tc>
          <w:tcPr>
            <w:tcW w:w="640" w:type="dxa"/>
            <w:vAlign w:val="bottom"/>
            <w:tcBorders>
              <w:top w:val="single" w:sz="8" w:color="231F20"/>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rPr>
              <w:t>3.71%</w:t>
            </w:r>
          </w:p>
        </w:tc>
        <w:tc>
          <w:tcPr>
            <w:tcW w:w="800" w:type="dxa"/>
            <w:vAlign w:val="bottom"/>
            <w:tcBorders>
              <w:top w:val="single" w:sz="8" w:color="231F20"/>
            </w:tcBorders>
            <w:shd w:val="clear" w:color="auto" w:fill="E2E3E4"/>
          </w:tcPr>
          <w:p>
            <w:pPr>
              <w:ind w:left="40"/>
              <w:spacing w:after="0" w:line="204" w:lineRule="exact"/>
              <w:rPr>
                <w:sz w:val="20"/>
                <w:szCs w:val="20"/>
                <w:color w:val="auto"/>
              </w:rPr>
            </w:pPr>
            <w:r>
              <w:rPr>
                <w:rFonts w:ascii="Times New Roman" w:cs="Times New Roman" w:eastAsia="Times New Roman" w:hAnsi="Times New Roman"/>
                <w:sz w:val="19"/>
                <w:szCs w:val="19"/>
                <w:color w:val="231F20"/>
              </w:rPr>
              <w:t>– 4.43%</w:t>
            </w:r>
          </w:p>
        </w:tc>
        <w:tc>
          <w:tcPr>
            <w:tcW w:w="20" w:type="dxa"/>
            <w:vAlign w:val="bottom"/>
            <w:tcBorders>
              <w:top w:val="single" w:sz="8" w:color="231F20"/>
            </w:tcBorders>
            <w:shd w:val="clear" w:color="auto" w:fill="E2E3E4"/>
          </w:tcPr>
          <w:p>
            <w:pPr>
              <w:spacing w:after="0"/>
              <w:rPr>
                <w:sz w:val="17"/>
                <w:szCs w:val="17"/>
                <w:color w:val="auto"/>
              </w:rPr>
            </w:pPr>
          </w:p>
        </w:tc>
        <w:tc>
          <w:tcPr>
            <w:tcW w:w="120" w:type="dxa"/>
            <w:vAlign w:val="bottom"/>
            <w:tcBorders>
              <w:top w:val="single" w:sz="8" w:color="E2E3E4"/>
            </w:tcBorders>
            <w:shd w:val="clear" w:color="auto" w:fill="E2E3E4"/>
          </w:tcPr>
          <w:p>
            <w:pPr>
              <w:spacing w:after="0"/>
              <w:rPr>
                <w:sz w:val="17"/>
                <w:szCs w:val="17"/>
                <w:color w:val="auto"/>
              </w:rPr>
            </w:pPr>
          </w:p>
        </w:tc>
        <w:tc>
          <w:tcPr>
            <w:tcW w:w="660" w:type="dxa"/>
            <w:vAlign w:val="bottom"/>
            <w:tcBorders>
              <w:top w:val="single" w:sz="8" w:color="231F20"/>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rPr>
              <w:t>3.56%</w:t>
            </w:r>
          </w:p>
        </w:tc>
        <w:tc>
          <w:tcPr>
            <w:tcW w:w="800" w:type="dxa"/>
            <w:vAlign w:val="bottom"/>
            <w:tcBorders>
              <w:top w:val="single" w:sz="8" w:color="231F20"/>
            </w:tcBorders>
            <w:shd w:val="clear" w:color="auto" w:fill="E2E3E4"/>
          </w:tcPr>
          <w:p>
            <w:pPr>
              <w:ind w:left="20"/>
              <w:spacing w:after="0" w:line="204" w:lineRule="exact"/>
              <w:rPr>
                <w:sz w:val="20"/>
                <w:szCs w:val="20"/>
                <w:color w:val="auto"/>
              </w:rPr>
            </w:pPr>
            <w:r>
              <w:rPr>
                <w:rFonts w:ascii="Times New Roman" w:cs="Times New Roman" w:eastAsia="Times New Roman" w:hAnsi="Times New Roman"/>
                <w:sz w:val="19"/>
                <w:szCs w:val="19"/>
                <w:color w:val="231F20"/>
              </w:rPr>
              <w:t>– 4.64%</w:t>
            </w:r>
          </w:p>
        </w:tc>
        <w:tc>
          <w:tcPr>
            <w:tcW w:w="20" w:type="dxa"/>
            <w:vAlign w:val="bottom"/>
            <w:tcBorders>
              <w:top w:val="single" w:sz="8" w:color="231F20"/>
            </w:tcBorders>
            <w:shd w:val="clear" w:color="auto" w:fill="E2E3E4"/>
          </w:tcPr>
          <w:p>
            <w:pPr>
              <w:spacing w:after="0"/>
              <w:rPr>
                <w:sz w:val="17"/>
                <w:szCs w:val="17"/>
                <w:color w:val="auto"/>
              </w:rPr>
            </w:pPr>
          </w:p>
        </w:tc>
        <w:tc>
          <w:tcPr>
            <w:tcW w:w="120" w:type="dxa"/>
            <w:vAlign w:val="bottom"/>
            <w:tcBorders>
              <w:top w:val="single" w:sz="8" w:color="E2E3E4"/>
            </w:tcBorders>
            <w:shd w:val="clear" w:color="auto" w:fill="E2E3E4"/>
          </w:tcPr>
          <w:p>
            <w:pPr>
              <w:spacing w:after="0"/>
              <w:rPr>
                <w:sz w:val="17"/>
                <w:szCs w:val="17"/>
                <w:color w:val="auto"/>
              </w:rPr>
            </w:pPr>
          </w:p>
        </w:tc>
        <w:tc>
          <w:tcPr>
            <w:tcW w:w="660" w:type="dxa"/>
            <w:vAlign w:val="bottom"/>
            <w:tcBorders>
              <w:top w:val="single" w:sz="8" w:color="231F20"/>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rPr>
              <w:t>3.46%</w:t>
            </w:r>
          </w:p>
        </w:tc>
        <w:tc>
          <w:tcPr>
            <w:tcW w:w="800" w:type="dxa"/>
            <w:vAlign w:val="bottom"/>
            <w:tcBorders>
              <w:top w:val="single" w:sz="8" w:color="231F20"/>
            </w:tcBorders>
            <w:shd w:val="clear" w:color="auto" w:fill="E2E3E4"/>
          </w:tcPr>
          <w:p>
            <w:pPr>
              <w:ind w:left="20"/>
              <w:spacing w:after="0" w:line="204" w:lineRule="exact"/>
              <w:rPr>
                <w:sz w:val="20"/>
                <w:szCs w:val="20"/>
                <w:color w:val="auto"/>
              </w:rPr>
            </w:pPr>
            <w:r>
              <w:rPr>
                <w:rFonts w:ascii="Times New Roman" w:cs="Times New Roman" w:eastAsia="Times New Roman" w:hAnsi="Times New Roman"/>
                <w:sz w:val="19"/>
                <w:szCs w:val="19"/>
                <w:color w:val="231F20"/>
              </w:rPr>
              <w:t>– 4.71%</w:t>
            </w:r>
          </w:p>
        </w:tc>
      </w:tr>
      <w:tr>
        <w:trPr>
          <w:trHeight w:val="237"/>
        </w:trPr>
        <w:tc>
          <w:tcPr>
            <w:tcW w:w="360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Expected term (in years)</w:t>
            </w:r>
          </w:p>
        </w:tc>
        <w:tc>
          <w:tcPr>
            <w:tcW w:w="140" w:type="dxa"/>
            <w:vAlign w:val="bottom"/>
            <w:tcBorders>
              <w:bottom w:val="single" w:sz="8" w:color="E2E3E4"/>
            </w:tcBorders>
          </w:tcPr>
          <w:p>
            <w:pPr>
              <w:spacing w:after="0"/>
              <w:rPr>
                <w:sz w:val="20"/>
                <w:szCs w:val="20"/>
                <w:color w:val="auto"/>
              </w:rPr>
            </w:pPr>
          </w:p>
        </w:tc>
        <w:tc>
          <w:tcPr>
            <w:tcW w:w="6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3.0</w:t>
            </w:r>
          </w:p>
        </w:tc>
        <w:tc>
          <w:tcPr>
            <w:tcW w:w="800" w:type="dxa"/>
            <w:vAlign w:val="bottom"/>
            <w:tcBorders>
              <w:bottom w:val="single" w:sz="8" w:color="E2E3E4"/>
            </w:tcBorders>
          </w:tcPr>
          <w:p>
            <w:pPr>
              <w:ind w:left="40"/>
              <w:spacing w:after="0"/>
              <w:rPr>
                <w:sz w:val="20"/>
                <w:szCs w:val="20"/>
                <w:color w:val="auto"/>
              </w:rPr>
            </w:pPr>
            <w:r>
              <w:rPr>
                <w:rFonts w:ascii="Times New Roman" w:cs="Times New Roman" w:eastAsia="Times New Roman" w:hAnsi="Times New Roman"/>
                <w:sz w:val="19"/>
                <w:szCs w:val="19"/>
                <w:color w:val="231F20"/>
              </w:rPr>
              <w:t>– 6.1</w:t>
            </w:r>
          </w:p>
        </w:tc>
        <w:tc>
          <w:tcPr>
            <w:tcW w:w="80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3.0</w:t>
            </w:r>
          </w:p>
        </w:tc>
        <w:tc>
          <w:tcPr>
            <w:tcW w:w="800" w:type="dxa"/>
            <w:vAlign w:val="bottom"/>
            <w:tcBorders>
              <w:bottom w:val="single" w:sz="8" w:color="E2E3E4"/>
            </w:tcBorders>
          </w:tcPr>
          <w:p>
            <w:pPr>
              <w:ind w:left="20"/>
              <w:spacing w:after="0"/>
              <w:rPr>
                <w:sz w:val="20"/>
                <w:szCs w:val="20"/>
                <w:color w:val="auto"/>
              </w:rPr>
            </w:pPr>
            <w:r>
              <w:rPr>
                <w:rFonts w:ascii="Times New Roman" w:cs="Times New Roman" w:eastAsia="Times New Roman" w:hAnsi="Times New Roman"/>
                <w:sz w:val="19"/>
                <w:szCs w:val="19"/>
                <w:color w:val="231F20"/>
              </w:rPr>
              <w:t>– 6.1</w:t>
            </w:r>
          </w:p>
        </w:tc>
        <w:tc>
          <w:tcPr>
            <w:tcW w:w="80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3.0</w:t>
            </w:r>
          </w:p>
        </w:tc>
        <w:tc>
          <w:tcPr>
            <w:tcW w:w="800" w:type="dxa"/>
            <w:vAlign w:val="bottom"/>
            <w:tcBorders>
              <w:bottom w:val="single" w:sz="8" w:color="E2E3E4"/>
            </w:tcBorders>
          </w:tcPr>
          <w:p>
            <w:pPr>
              <w:ind w:left="20"/>
              <w:spacing w:after="0"/>
              <w:rPr>
                <w:sz w:val="20"/>
                <w:szCs w:val="20"/>
                <w:color w:val="auto"/>
              </w:rPr>
            </w:pPr>
            <w:r>
              <w:rPr>
                <w:rFonts w:ascii="Times New Roman" w:cs="Times New Roman" w:eastAsia="Times New Roman" w:hAnsi="Times New Roman"/>
                <w:sz w:val="19"/>
                <w:szCs w:val="19"/>
                <w:color w:val="231F20"/>
              </w:rPr>
              <w:t>– 6.1</w:t>
            </w:r>
          </w:p>
        </w:tc>
      </w:tr>
      <w:tr>
        <w:trPr>
          <w:trHeight w:val="217"/>
        </w:trPr>
        <w:tc>
          <w:tcPr>
            <w:tcW w:w="360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Expected volatility</w:t>
            </w:r>
          </w:p>
        </w:tc>
        <w:tc>
          <w:tcPr>
            <w:tcW w:w="140" w:type="dxa"/>
            <w:vAlign w:val="bottom"/>
            <w:shd w:val="clear" w:color="auto" w:fill="E2E3E4"/>
          </w:tcPr>
          <w:p>
            <w:pPr>
              <w:spacing w:after="0"/>
              <w:rPr>
                <w:sz w:val="18"/>
                <w:szCs w:val="18"/>
                <w:color w:val="auto"/>
              </w:rPr>
            </w:pPr>
          </w:p>
        </w:tc>
        <w:tc>
          <w:tcPr>
            <w:tcW w:w="1440" w:type="dxa"/>
            <w:vAlign w:val="bottom"/>
            <w:gridSpan w:val="2"/>
            <w:shd w:val="clear" w:color="auto" w:fill="E2E3E4"/>
          </w:tcPr>
          <w:p>
            <w:pPr>
              <w:jc w:val="center"/>
              <w:spacing w:after="0" w:line="217" w:lineRule="exact"/>
              <w:rPr>
                <w:sz w:val="20"/>
                <w:szCs w:val="20"/>
                <w:color w:val="auto"/>
              </w:rPr>
            </w:pPr>
            <w:r>
              <w:rPr>
                <w:rFonts w:ascii="Times New Roman" w:cs="Times New Roman" w:eastAsia="Times New Roman" w:hAnsi="Times New Roman"/>
                <w:sz w:val="19"/>
                <w:szCs w:val="19"/>
                <w:color w:val="231F20"/>
              </w:rPr>
              <w:t>90% – 100%</w:t>
            </w:r>
          </w:p>
        </w:tc>
        <w:tc>
          <w:tcPr>
            <w:tcW w:w="2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1460" w:type="dxa"/>
            <w:vAlign w:val="bottom"/>
            <w:gridSpan w:val="2"/>
            <w:shd w:val="clear" w:color="auto" w:fill="E2E3E4"/>
          </w:tcPr>
          <w:p>
            <w:pPr>
              <w:jc w:val="center"/>
              <w:spacing w:after="0" w:line="217" w:lineRule="exact"/>
              <w:rPr>
                <w:sz w:val="20"/>
                <w:szCs w:val="20"/>
                <w:color w:val="auto"/>
              </w:rPr>
            </w:pPr>
            <w:r>
              <w:rPr>
                <w:rFonts w:ascii="Times New Roman" w:cs="Times New Roman" w:eastAsia="Times New Roman" w:hAnsi="Times New Roman"/>
                <w:sz w:val="19"/>
                <w:szCs w:val="19"/>
                <w:color w:val="231F20"/>
              </w:rPr>
              <w:t>88% – 100%</w:t>
            </w:r>
          </w:p>
        </w:tc>
        <w:tc>
          <w:tcPr>
            <w:tcW w:w="2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66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87%</w:t>
            </w:r>
          </w:p>
        </w:tc>
        <w:tc>
          <w:tcPr>
            <w:tcW w:w="800" w:type="dxa"/>
            <w:vAlign w:val="bottom"/>
            <w:shd w:val="clear" w:color="auto" w:fill="E2E3E4"/>
          </w:tcPr>
          <w:p>
            <w:pPr>
              <w:ind w:left="20"/>
              <w:spacing w:after="0" w:line="217" w:lineRule="exact"/>
              <w:rPr>
                <w:sz w:val="20"/>
                <w:szCs w:val="20"/>
                <w:color w:val="auto"/>
              </w:rPr>
            </w:pPr>
            <w:r>
              <w:rPr>
                <w:rFonts w:ascii="Times New Roman" w:cs="Times New Roman" w:eastAsia="Times New Roman" w:hAnsi="Times New Roman"/>
                <w:sz w:val="19"/>
                <w:szCs w:val="19"/>
                <w:color w:val="231F20"/>
              </w:rPr>
              <w:t>– 93%</w:t>
            </w:r>
          </w:p>
        </w:tc>
      </w:tr>
      <w:tr>
        <w:trPr>
          <w:trHeight w:val="258"/>
        </w:trPr>
        <w:tc>
          <w:tcPr>
            <w:tcW w:w="3600" w:type="dxa"/>
            <w:vAlign w:val="bottom"/>
          </w:tcPr>
          <w:p>
            <w:pPr>
              <w:spacing w:after="0"/>
              <w:rPr>
                <w:sz w:val="20"/>
                <w:szCs w:val="20"/>
                <w:color w:val="auto"/>
              </w:rPr>
            </w:pPr>
            <w:r>
              <w:rPr>
                <w:rFonts w:ascii="Times New Roman" w:cs="Times New Roman" w:eastAsia="Times New Roman" w:hAnsi="Times New Roman"/>
                <w:sz w:val="19"/>
                <w:szCs w:val="19"/>
                <w:color w:val="231F20"/>
              </w:rPr>
              <w:t>Expected dividend yield</w:t>
            </w:r>
          </w:p>
        </w:tc>
        <w:tc>
          <w:tcPr>
            <w:tcW w:w="140" w:type="dxa"/>
            <w:vAlign w:val="bottom"/>
          </w:tcPr>
          <w:p>
            <w:pPr>
              <w:spacing w:after="0"/>
              <w:rPr>
                <w:sz w:val="22"/>
                <w:szCs w:val="22"/>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231F20"/>
                <w:w w:val="94"/>
              </w:rPr>
              <w:t>0%</w:t>
            </w:r>
          </w:p>
        </w:tc>
        <w:tc>
          <w:tcPr>
            <w:tcW w:w="1600" w:type="dxa"/>
            <w:vAlign w:val="bottom"/>
            <w:gridSpan w:val="4"/>
          </w:tcPr>
          <w:p>
            <w:pPr>
              <w:jc w:val="center"/>
              <w:ind w:left="50"/>
              <w:spacing w:after="0"/>
              <w:rPr>
                <w:sz w:val="20"/>
                <w:szCs w:val="20"/>
                <w:color w:val="auto"/>
              </w:rPr>
            </w:pPr>
            <w:r>
              <w:rPr>
                <w:rFonts w:ascii="Times New Roman" w:cs="Times New Roman" w:eastAsia="Times New Roman" w:hAnsi="Times New Roman"/>
                <w:sz w:val="19"/>
                <w:szCs w:val="19"/>
                <w:color w:val="231F20"/>
              </w:rPr>
              <w:t>0%</w:t>
            </w:r>
          </w:p>
        </w:tc>
        <w:tc>
          <w:tcPr>
            <w:tcW w:w="1600" w:type="dxa"/>
            <w:vAlign w:val="bottom"/>
            <w:gridSpan w:val="4"/>
          </w:tcPr>
          <w:p>
            <w:pPr>
              <w:jc w:val="right"/>
              <w:ind w:right="503"/>
              <w:spacing w:after="0"/>
              <w:rPr>
                <w:sz w:val="20"/>
                <w:szCs w:val="20"/>
                <w:color w:val="auto"/>
              </w:rPr>
            </w:pPr>
            <w:r>
              <w:rPr>
                <w:rFonts w:ascii="Times New Roman" w:cs="Times New Roman" w:eastAsia="Times New Roman" w:hAnsi="Times New Roman"/>
                <w:sz w:val="19"/>
                <w:szCs w:val="19"/>
                <w:color w:val="231F20"/>
              </w:rPr>
              <w:t>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664845</wp:posOffset>
                </wp:positionH>
                <wp:positionV relativeFrom="paragraph">
                  <wp:posOffset>-461010</wp:posOffset>
                </wp:positionV>
                <wp:extent cx="532193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193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36.2999pt" to="471.4pt,-36.2999pt" o:allowincell="f" strokecolor="#FFFFFF" strokeweight="0.6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1880" w:h="15480" w:orient="portrait"/>
          <w:cols w:equalWidth="0" w:num="1">
            <w:col w:w="10480"/>
          </w:cols>
          <w:pgMar w:left="700" w:top="1394" w:right="700" w:bottom="213"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color w:val="231F20"/>
        </w:rPr>
        <w:t>RSU activity for the year ended December 31, 2025 is summarized as follows:</w:t>
      </w:r>
    </w:p>
    <w:p>
      <w:pPr>
        <w:spacing w:after="0" w:line="282" w:lineRule="exact"/>
        <w:rPr>
          <w:sz w:val="20"/>
          <w:szCs w:val="20"/>
          <w:color w:val="auto"/>
        </w:rPr>
      </w:pPr>
    </w:p>
    <w:tbl>
      <w:tblPr>
        <w:tblLayout w:type="fixed"/>
        <w:tblInd w:w="158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7"/>
              </w:rPr>
              <w:t>Average Grant</w:t>
            </w:r>
          </w:p>
        </w:tc>
      </w:tr>
      <w:tr>
        <w:trPr>
          <w:trHeight w:val="177"/>
        </w:trPr>
        <w:tc>
          <w:tcPr>
            <w:tcW w:w="4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77" w:lineRule="exact"/>
              <w:rPr>
                <w:sz w:val="20"/>
                <w:szCs w:val="20"/>
                <w:color w:val="auto"/>
              </w:rPr>
            </w:pPr>
            <w:r>
              <w:rPr>
                <w:rFonts w:ascii="Times New Roman" w:cs="Times New Roman" w:eastAsia="Times New Roman" w:hAnsi="Times New Roman"/>
                <w:sz w:val="16"/>
                <w:szCs w:val="16"/>
                <w:b w:val="1"/>
                <w:bCs w:val="1"/>
                <w:color w:val="231F20"/>
                <w:w w:val="97"/>
              </w:rPr>
              <w:t>Date Fair</w:t>
            </w:r>
          </w:p>
        </w:tc>
      </w:tr>
      <w:tr>
        <w:trPr>
          <w:trHeight w:val="179"/>
        </w:trPr>
        <w:tc>
          <w:tcPr>
            <w:tcW w:w="4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60"/>
              <w:spacing w:after="0" w:line="179" w:lineRule="exact"/>
              <w:rPr>
                <w:sz w:val="20"/>
                <w:szCs w:val="20"/>
                <w:color w:val="auto"/>
              </w:rPr>
            </w:pPr>
            <w:r>
              <w:rPr>
                <w:rFonts w:ascii="Times New Roman" w:cs="Times New Roman" w:eastAsia="Times New Roman" w:hAnsi="Times New Roman"/>
                <w:sz w:val="16"/>
                <w:szCs w:val="16"/>
                <w:b w:val="1"/>
                <w:bCs w:val="1"/>
                <w:color w:val="231F20"/>
                <w:w w:val="98"/>
              </w:rPr>
              <w:t>Value (in</w:t>
            </w:r>
          </w:p>
        </w:tc>
      </w:tr>
      <w:tr>
        <w:trPr>
          <w:trHeight w:val="179"/>
        </w:trPr>
        <w:tc>
          <w:tcPr>
            <w:tcW w:w="4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79" w:lineRule="exact"/>
              <w:rPr>
                <w:sz w:val="20"/>
                <w:szCs w:val="20"/>
                <w:color w:val="auto"/>
              </w:rPr>
            </w:pPr>
            <w:r>
              <w:rPr>
                <w:rFonts w:ascii="Times New Roman" w:cs="Times New Roman" w:eastAsia="Times New Roman" w:hAnsi="Times New Roman"/>
                <w:sz w:val="16"/>
                <w:szCs w:val="16"/>
                <w:b w:val="1"/>
                <w:bCs w:val="1"/>
                <w:color w:val="231F20"/>
                <w:w w:val="96"/>
              </w:rPr>
              <w:t>dollars per</w:t>
            </w:r>
          </w:p>
        </w:tc>
      </w:tr>
      <w:tr>
        <w:trPr>
          <w:trHeight w:val="216"/>
        </w:trPr>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50" w:type="dxa"/>
            <w:vAlign w:val="bottom"/>
            <w:gridSpan w:val="2"/>
          </w:tcPr>
          <w:p>
            <w:pPr>
              <w:jc w:val="right"/>
              <w:ind w:right="329"/>
              <w:spacing w:after="0"/>
              <w:rPr>
                <w:sz w:val="20"/>
                <w:szCs w:val="20"/>
                <w:color w:val="auto"/>
              </w:rPr>
            </w:pPr>
            <w:r>
              <w:rPr>
                <w:rFonts w:ascii="Times New Roman" w:cs="Times New Roman" w:eastAsia="Times New Roman" w:hAnsi="Times New Roman"/>
                <w:sz w:val="16"/>
                <w:szCs w:val="16"/>
                <w:b w:val="1"/>
                <w:bCs w:val="1"/>
                <w:color w:val="231F20"/>
              </w:rPr>
              <w:t>RSUs</w:t>
            </w:r>
          </w:p>
        </w:tc>
        <w:tc>
          <w:tcPr>
            <w:tcW w:w="11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8"/>
              </w:rPr>
              <w:t>share)</w:t>
            </w:r>
          </w:p>
        </w:tc>
      </w:tr>
      <w:tr>
        <w:trPr>
          <w:trHeight w:val="204"/>
        </w:trPr>
        <w:tc>
          <w:tcPr>
            <w:tcW w:w="4900" w:type="dxa"/>
            <w:vAlign w:val="bottom"/>
            <w:tcBorders>
              <w:top w:val="single" w:sz="8" w:color="E2E3E4"/>
            </w:tcBorders>
            <w:shd w:val="clear" w:color="auto" w:fill="E2E3E4"/>
          </w:tcPr>
          <w:p>
            <w:pPr>
              <w:spacing w:after="0" w:line="204" w:lineRule="exact"/>
              <w:rPr>
                <w:sz w:val="20"/>
                <w:szCs w:val="20"/>
                <w:color w:val="auto"/>
              </w:rPr>
            </w:pPr>
            <w:r>
              <w:rPr>
                <w:rFonts w:ascii="Times New Roman" w:cs="Times New Roman" w:eastAsia="Times New Roman" w:hAnsi="Times New Roman"/>
                <w:sz w:val="19"/>
                <w:szCs w:val="19"/>
                <w:color w:val="231F20"/>
              </w:rPr>
              <w:t>Outstanding as of January 1, 2025</w:t>
            </w:r>
          </w:p>
        </w:tc>
        <w:tc>
          <w:tcPr>
            <w:tcW w:w="6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60" w:type="dxa"/>
            <w:vAlign w:val="bottom"/>
            <w:tcBorders>
              <w:top w:val="single" w:sz="8" w:color="231F20"/>
            </w:tcBorders>
            <w:shd w:val="clear" w:color="auto" w:fill="E2E3E4"/>
          </w:tcPr>
          <w:p>
            <w:pPr>
              <w:spacing w:after="0"/>
              <w:rPr>
                <w:sz w:val="17"/>
                <w:szCs w:val="17"/>
                <w:color w:val="auto"/>
              </w:rPr>
            </w:pPr>
          </w:p>
        </w:tc>
        <w:tc>
          <w:tcPr>
            <w:tcW w:w="980" w:type="dxa"/>
            <w:vAlign w:val="bottom"/>
            <w:tcBorders>
              <w:top w:val="single" w:sz="8" w:color="231F20"/>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rPr>
              <w:t>832,043</w:t>
            </w:r>
          </w:p>
        </w:tc>
        <w:tc>
          <w:tcPr>
            <w:tcW w:w="70" w:type="dxa"/>
            <w:vAlign w:val="bottom"/>
            <w:tcBorders>
              <w:top w:val="single" w:sz="8" w:color="E2E3E4"/>
            </w:tcBorders>
            <w:shd w:val="clear" w:color="auto" w:fill="E2E3E4"/>
          </w:tcPr>
          <w:p>
            <w:pPr>
              <w:spacing w:after="0"/>
              <w:rPr>
                <w:sz w:val="17"/>
                <w:szCs w:val="17"/>
                <w:color w:val="auto"/>
              </w:rPr>
            </w:pPr>
          </w:p>
        </w:tc>
        <w:tc>
          <w:tcPr>
            <w:tcW w:w="110" w:type="dxa"/>
            <w:vAlign w:val="bottom"/>
            <w:tcBorders>
              <w:top w:val="single" w:sz="8" w:color="E2E3E4"/>
            </w:tcBorders>
            <w:shd w:val="clear" w:color="auto" w:fill="E2E3E4"/>
          </w:tcPr>
          <w:p>
            <w:pPr>
              <w:spacing w:after="0"/>
              <w:rPr>
                <w:sz w:val="17"/>
                <w:szCs w:val="17"/>
                <w:color w:val="auto"/>
              </w:rPr>
            </w:pPr>
          </w:p>
        </w:tc>
        <w:tc>
          <w:tcPr>
            <w:tcW w:w="100" w:type="dxa"/>
            <w:vAlign w:val="bottom"/>
            <w:tcBorders>
              <w:top w:val="single" w:sz="8" w:color="231F20"/>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60" w:type="dxa"/>
            <w:vAlign w:val="bottom"/>
            <w:tcBorders>
              <w:top w:val="single" w:sz="8" w:color="231F20"/>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rPr>
              <w:t>7.54</w:t>
            </w:r>
          </w:p>
        </w:tc>
        <w:tc>
          <w:tcPr>
            <w:tcW w:w="60" w:type="dxa"/>
            <w:vAlign w:val="bottom"/>
            <w:tcBorders>
              <w:top w:val="single" w:sz="8" w:color="E2E3E4"/>
            </w:tcBorders>
            <w:shd w:val="clear" w:color="auto" w:fill="E2E3E4"/>
          </w:tcPr>
          <w:p>
            <w:pPr>
              <w:spacing w:after="0"/>
              <w:rPr>
                <w:sz w:val="17"/>
                <w:szCs w:val="17"/>
                <w:color w:val="auto"/>
              </w:rPr>
            </w:pPr>
          </w:p>
        </w:tc>
      </w:tr>
      <w:tr>
        <w:trPr>
          <w:trHeight w:val="237"/>
        </w:trPr>
        <w:tc>
          <w:tcPr>
            <w:tcW w:w="4900" w:type="dxa"/>
            <w:vAlign w:val="bottom"/>
            <w:tcBorders>
              <w:bottom w:val="single" w:sz="8" w:color="E2E3E4"/>
            </w:tcBorders>
          </w:tcPr>
          <w:p>
            <w:pPr>
              <w:ind w:left="80"/>
              <w:spacing w:after="0"/>
              <w:rPr>
                <w:sz w:val="20"/>
                <w:szCs w:val="20"/>
                <w:color w:val="auto"/>
              </w:rPr>
            </w:pPr>
            <w:r>
              <w:rPr>
                <w:rFonts w:ascii="Times New Roman" w:cs="Times New Roman" w:eastAsia="Times New Roman" w:hAnsi="Times New Roman"/>
                <w:sz w:val="19"/>
                <w:szCs w:val="19"/>
                <w:color w:val="231F20"/>
              </w:rPr>
              <w:t>Granted</w:t>
            </w:r>
          </w:p>
        </w:tc>
        <w:tc>
          <w:tcPr>
            <w:tcW w:w="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c>
          <w:tcPr>
            <w:tcW w:w="9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1,320,515</w:t>
            </w:r>
          </w:p>
        </w:tc>
        <w:tc>
          <w:tcPr>
            <w:tcW w:w="70" w:type="dxa"/>
            <w:vAlign w:val="bottom"/>
            <w:tcBorders>
              <w:bottom w:val="single" w:sz="8" w:color="E2E3E4"/>
            </w:tcBorders>
          </w:tcPr>
          <w:p>
            <w:pPr>
              <w:spacing w:after="0"/>
              <w:rPr>
                <w:sz w:val="20"/>
                <w:szCs w:val="20"/>
                <w:color w:val="auto"/>
              </w:rPr>
            </w:pPr>
          </w:p>
        </w:tc>
        <w:tc>
          <w:tcPr>
            <w:tcW w:w="11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9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10.77</w:t>
            </w:r>
          </w:p>
        </w:tc>
        <w:tc>
          <w:tcPr>
            <w:tcW w:w="60" w:type="dxa"/>
            <w:vAlign w:val="bottom"/>
            <w:tcBorders>
              <w:bottom w:val="single" w:sz="8" w:color="E2E3E4"/>
            </w:tcBorders>
          </w:tcPr>
          <w:p>
            <w:pPr>
              <w:spacing w:after="0"/>
              <w:rPr>
                <w:sz w:val="20"/>
                <w:szCs w:val="20"/>
                <w:color w:val="auto"/>
              </w:rPr>
            </w:pPr>
          </w:p>
        </w:tc>
      </w:tr>
      <w:tr>
        <w:trPr>
          <w:trHeight w:val="217"/>
        </w:trPr>
        <w:tc>
          <w:tcPr>
            <w:tcW w:w="4900" w:type="dxa"/>
            <w:vAlign w:val="bottom"/>
            <w:shd w:val="clear" w:color="auto" w:fill="E2E3E4"/>
          </w:tcPr>
          <w:p>
            <w:pPr>
              <w:ind w:left="80"/>
              <w:spacing w:after="0" w:line="217" w:lineRule="exact"/>
              <w:rPr>
                <w:sz w:val="20"/>
                <w:szCs w:val="20"/>
                <w:color w:val="auto"/>
              </w:rPr>
            </w:pPr>
            <w:r>
              <w:rPr>
                <w:rFonts w:ascii="Times New Roman" w:cs="Times New Roman" w:eastAsia="Times New Roman" w:hAnsi="Times New Roman"/>
                <w:sz w:val="19"/>
                <w:szCs w:val="19"/>
                <w:color w:val="231F20"/>
              </w:rPr>
              <w:t>Vested</w:t>
            </w:r>
          </w:p>
        </w:tc>
        <w:tc>
          <w:tcPr>
            <w:tcW w:w="6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c>
          <w:tcPr>
            <w:tcW w:w="9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(262,218</w:t>
            </w:r>
          </w:p>
        </w:tc>
        <w:tc>
          <w:tcPr>
            <w:tcW w:w="7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1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6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5.80</w:t>
            </w:r>
          </w:p>
        </w:tc>
        <w:tc>
          <w:tcPr>
            <w:tcW w:w="60" w:type="dxa"/>
            <w:vAlign w:val="bottom"/>
            <w:shd w:val="clear" w:color="auto" w:fill="E2E3E4"/>
          </w:tcPr>
          <w:p>
            <w:pPr>
              <w:spacing w:after="0"/>
              <w:rPr>
                <w:sz w:val="18"/>
                <w:szCs w:val="18"/>
                <w:color w:val="auto"/>
              </w:rPr>
            </w:pPr>
          </w:p>
        </w:tc>
      </w:tr>
      <w:tr>
        <w:trPr>
          <w:trHeight w:val="257"/>
        </w:trPr>
        <w:tc>
          <w:tcPr>
            <w:tcW w:w="4900" w:type="dxa"/>
            <w:vAlign w:val="bottom"/>
          </w:tcPr>
          <w:p>
            <w:pPr>
              <w:ind w:left="80"/>
              <w:spacing w:after="0"/>
              <w:rPr>
                <w:sz w:val="20"/>
                <w:szCs w:val="20"/>
                <w:color w:val="auto"/>
              </w:rPr>
            </w:pPr>
            <w:r>
              <w:rPr>
                <w:rFonts w:ascii="Times New Roman" w:cs="Times New Roman" w:eastAsia="Times New Roman" w:hAnsi="Times New Roman"/>
                <w:sz w:val="19"/>
                <w:szCs w:val="19"/>
                <w:color w:val="231F20"/>
              </w:rPr>
              <w:t>Forfeited</w:t>
            </w:r>
          </w:p>
        </w:tc>
        <w:tc>
          <w:tcPr>
            <w:tcW w:w="119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231F20"/>
              </w:rPr>
              <w:t>(112,924 )</w:t>
            </w:r>
          </w:p>
        </w:tc>
        <w:tc>
          <w:tcPr>
            <w:tcW w:w="11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9.01</w:t>
            </w:r>
          </w:p>
        </w:tc>
        <w:tc>
          <w:tcPr>
            <w:tcW w:w="60" w:type="dxa"/>
            <w:vAlign w:val="bottom"/>
          </w:tcPr>
          <w:p>
            <w:pPr>
              <w:spacing w:after="0"/>
              <w:rPr>
                <w:sz w:val="22"/>
                <w:szCs w:val="22"/>
                <w:color w:val="auto"/>
              </w:rPr>
            </w:pPr>
          </w:p>
        </w:tc>
      </w:tr>
      <w:tr>
        <w:trPr>
          <w:trHeight w:val="206"/>
        </w:trPr>
        <w:tc>
          <w:tcPr>
            <w:tcW w:w="4900" w:type="dxa"/>
            <w:vAlign w:val="bottom"/>
            <w:tcBorders>
              <w:top w:val="single" w:sz="8" w:color="E2E3E4"/>
            </w:tcBorders>
            <w:shd w:val="clear" w:color="auto" w:fill="E2E3E4"/>
          </w:tcPr>
          <w:p>
            <w:pPr>
              <w:spacing w:after="0" w:line="205" w:lineRule="exact"/>
              <w:rPr>
                <w:sz w:val="20"/>
                <w:szCs w:val="20"/>
                <w:color w:val="auto"/>
              </w:rPr>
            </w:pPr>
            <w:r>
              <w:rPr>
                <w:rFonts w:ascii="Times New Roman" w:cs="Times New Roman" w:eastAsia="Times New Roman" w:hAnsi="Times New Roman"/>
                <w:sz w:val="19"/>
                <w:szCs w:val="19"/>
                <w:color w:val="231F20"/>
              </w:rPr>
              <w:t>RSUs Outstanding at December 31, 2025</w:t>
            </w:r>
          </w:p>
        </w:tc>
        <w:tc>
          <w:tcPr>
            <w:tcW w:w="6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60" w:type="dxa"/>
            <w:vAlign w:val="bottom"/>
            <w:tcBorders>
              <w:top w:val="single" w:sz="8" w:color="231F20"/>
              <w:bottom w:val="single" w:sz="8" w:color="231F20"/>
            </w:tcBorders>
            <w:shd w:val="clear" w:color="auto" w:fill="E2E3E4"/>
          </w:tcPr>
          <w:p>
            <w:pPr>
              <w:spacing w:after="0"/>
              <w:rPr>
                <w:sz w:val="17"/>
                <w:szCs w:val="17"/>
                <w:color w:val="auto"/>
              </w:rPr>
            </w:pPr>
          </w:p>
        </w:tc>
        <w:tc>
          <w:tcPr>
            <w:tcW w:w="980" w:type="dxa"/>
            <w:vAlign w:val="bottom"/>
            <w:tcBorders>
              <w:top w:val="single" w:sz="8" w:color="231F20"/>
              <w:bottom w:val="single" w:sz="8" w:color="231F20"/>
            </w:tcBorders>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rPr>
              <w:t>1,777,416</w:t>
            </w:r>
          </w:p>
        </w:tc>
        <w:tc>
          <w:tcPr>
            <w:tcW w:w="70" w:type="dxa"/>
            <w:vAlign w:val="bottom"/>
            <w:tcBorders>
              <w:top w:val="single" w:sz="8" w:color="E2E3E4"/>
            </w:tcBorders>
            <w:shd w:val="clear" w:color="auto" w:fill="E2E3E4"/>
          </w:tcPr>
          <w:p>
            <w:pPr>
              <w:spacing w:after="0"/>
              <w:rPr>
                <w:sz w:val="17"/>
                <w:szCs w:val="17"/>
                <w:color w:val="auto"/>
              </w:rPr>
            </w:pPr>
          </w:p>
        </w:tc>
        <w:tc>
          <w:tcPr>
            <w:tcW w:w="110" w:type="dxa"/>
            <w:vAlign w:val="bottom"/>
            <w:tcBorders>
              <w:top w:val="single" w:sz="8" w:color="E2E3E4"/>
            </w:tcBorders>
            <w:shd w:val="clear" w:color="auto" w:fill="E2E3E4"/>
          </w:tcPr>
          <w:p>
            <w:pPr>
              <w:spacing w:after="0"/>
              <w:rPr>
                <w:sz w:val="17"/>
                <w:szCs w:val="17"/>
                <w:color w:val="auto"/>
              </w:rPr>
            </w:pPr>
          </w:p>
        </w:tc>
        <w:tc>
          <w:tcPr>
            <w:tcW w:w="100" w:type="dxa"/>
            <w:vAlign w:val="bottom"/>
            <w:tcBorders>
              <w:top w:val="single" w:sz="8" w:color="E2E3E4"/>
            </w:tcBorders>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60" w:type="dxa"/>
            <w:vAlign w:val="bottom"/>
            <w:tcBorders>
              <w:top w:val="single" w:sz="8" w:color="E2E3E4"/>
            </w:tcBorders>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rPr>
              <w:t>10.10</w:t>
            </w:r>
          </w:p>
        </w:tc>
        <w:tc>
          <w:tcPr>
            <w:tcW w:w="60" w:type="dxa"/>
            <w:vAlign w:val="bottom"/>
            <w:tcBorders>
              <w:top w:val="single" w:sz="8" w:color="E2E3E4"/>
            </w:tcBorders>
            <w:shd w:val="clear" w:color="auto" w:fill="E2E3E4"/>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997585</wp:posOffset>
                </wp:positionH>
                <wp:positionV relativeFrom="paragraph">
                  <wp:posOffset>-629285</wp:posOffset>
                </wp:positionV>
                <wp:extent cx="465645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6455" cy="4763"/>
                        </a:xfrm>
                        <a:prstGeom prst="line">
                          <a:avLst/>
                        </a:prstGeom>
                        <a:solidFill>
                          <a:srgbClr val="FFFFFF"/>
                        </a:solidFill>
                        <a:ln w="8863">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5pt,-49.5499pt" to="445.2pt,-49.5499pt" o:allowincell="f" strokecolor="#FFFFFF" strokeweight="0.6979pt"/>
            </w:pict>
          </mc:Fallback>
        </mc:AlternateContent>
      </w:r>
    </w:p>
    <w:p>
      <w:pPr>
        <w:spacing w:after="0" w:line="22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231F20"/>
        </w:rPr>
        <w:t>RSUs can be time-based or performance -based. Vesting of the performance-based RSUs is contingent on the occurrence of certain regulatory or commercial milestones. In March 2021, the Compensation Committee approved an amendment and restatement of the Company’s outstanding 2019 performance -based RSUs to add an additional milestone to the existing milestones. In 2021, the Company also granted performance -based RSUs with the same terms to certain employees who did not receive the 2019 performance-based RSUs. The Company did not recognize expense in 2024 related to the performance-based RSUs as the remaining milestones were not considered probable of achievement. In April 2022, the Company determined that a performance -based RSU milestone was achieved and consequently 50% of the outstanding performance-based RSUs vested, which resulted in the issuance of 384,646 ordinary shares. During the year ended December 31, 2022, the Company recorded share-based compensation expense of approximately $3.8 million related to the performance-based RSUs, which represents all of the expense related to the achievement of this performance-based RSU milestone. During the years ended December 31, 2025, 2024, and 2023, the Company recognized share-based compensation expense of $4.1 million, $0.8 million, and $1.0 million, respectively, related to RSUs.</w:t>
      </w:r>
    </w:p>
    <w:p>
      <w:pPr>
        <w:spacing w:after="0" w:line="7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RSUs that are forfeited are available to be granted again. During the year ended December 31, 2025, 1,320,515 time-based RSUs were granted to employees and non-employee directors. Of the RSUs outstanding at December 31, 2025, 1,489,849 are time-based RSUs and 287,567 are performance-based RSUs. Time-based RSUs generally vest over periods of one to four years.</w:t>
      </w:r>
    </w:p>
    <w:p>
      <w:pPr>
        <w:spacing w:after="0" w:line="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231F20"/>
        </w:rPr>
        <w:t>During the years ended December 31, 2025, 2024, and 2023, the Company recognized share-based compensation expense related to options of $20.2 million, $11.9 million, and $8.5 million, respectively. The total intrinsic value of options exercised was $ 27.2 million, $4.4 million, and $0.3 million, for the years ended December 31, 2025, 2024, and 2023, respectively. As of December 31, 2025, the unrecognized compensation cost related to outstanding options was $47.1 million. The unrecognized compensation cost related to outstanding options is expected to be recognized over a weighted-average period of approximately 2.37 years. For the years ended December 31, 2025 and 2024, the weighted-average grant date fair value per granted option was $8.12 and $3.38, respectively. The aggregate fair value of options that vested during the years ended December 31, 2025 and 2024 was $124.1 million and $11.4 million, respectively.</w:t>
      </w:r>
    </w:p>
    <w:p>
      <w:pPr>
        <w:spacing w:after="0" w:line="7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The unrecognized compensation costs related to outstanding time-based RSUs was $11.9 million as of December 31, 2025, and is expected to be recognized over a weighted -average period of approximately 2.80 years. The total fair value of RSUs vested during the years ended December 31, 2025, and 2024 was $2.2 million and $0.7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Employee Share Purchase Plan</w:t>
      </w:r>
    </w:p>
    <w:p>
      <w:pPr>
        <w:spacing w:after="0" w:line="11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231F20"/>
        </w:rPr>
        <w:t xml:space="preserve">The Wave Life Sciences Ltd. Employee Share Purchase Plan, as amended ("ESPP"), allows full-time and certain part-time employees to purchase the Company’s ordinary shares at a discount to fair market value. Eligible employees may enroll in a six-month offering period beginning every January 15 </w:t>
      </w:r>
      <w:r>
        <w:rPr>
          <w:rFonts w:ascii="Times New Roman" w:cs="Times New Roman" w:eastAsia="Times New Roman" w:hAnsi="Times New Roman"/>
          <w:sz w:val="25"/>
          <w:szCs w:val="25"/>
          <w:color w:val="231F20"/>
          <w:vertAlign w:val="superscript"/>
        </w:rPr>
        <w:t>th</w:t>
      </w:r>
      <w:r>
        <w:rPr>
          <w:rFonts w:ascii="Times New Roman" w:cs="Times New Roman" w:eastAsia="Times New Roman" w:hAnsi="Times New Roman"/>
          <w:sz w:val="19"/>
          <w:szCs w:val="19"/>
          <w:color w:val="231F20"/>
        </w:rPr>
        <w:t xml:space="preserve"> and July 15</w:t>
      </w:r>
      <w:r>
        <w:rPr>
          <w:rFonts w:ascii="Times New Roman" w:cs="Times New Roman" w:eastAsia="Times New Roman" w:hAnsi="Times New Roman"/>
          <w:sz w:val="25"/>
          <w:szCs w:val="25"/>
          <w:color w:val="231F20"/>
          <w:vertAlign w:val="superscript"/>
        </w:rPr>
        <w:t>th</w:t>
      </w:r>
      <w:r>
        <w:rPr>
          <w:rFonts w:ascii="Times New Roman" w:cs="Times New Roman" w:eastAsia="Times New Roman" w:hAnsi="Times New Roman"/>
          <w:sz w:val="19"/>
          <w:szCs w:val="19"/>
          <w:color w:val="231F20"/>
        </w:rPr>
        <w:t>. Shares are purchased at a price equal to 85% of the lower of the fair market value of the Company’s ordinary shares on the first business day or the last business day of an offering period. During the years ended December 31, 2025, and 2024, 152,621 and 176,498 ordinary shares were issued under the ESPP, respectively. The aggregate number of ordinary shares authorized for issuance under the ESPP was originally 1,000,000 and was subsequently increased to 3,000,000 in August 2023. As of December 31, 2025, there were 2,161,381 ordinary shares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F-20</w:t>
      </w:r>
    </w:p>
    <w:p>
      <w:pPr>
        <w:sectPr>
          <w:pgSz w:w="11880" w:h="15480" w:orient="portrait"/>
          <w:cols w:equalWidth="0" w:num="1">
            <w:col w:w="10480"/>
          </w:cols>
          <w:pgMar w:left="700" w:top="963" w:right="700" w:bottom="213"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9"/>
          <w:szCs w:val="19"/>
          <w:b w:val="1"/>
          <w:bCs w:val="1"/>
          <w:i w:val="1"/>
          <w:iCs w:val="1"/>
          <w:color w:val="231F20"/>
        </w:rPr>
        <w:t>Share-Based Compensation Expense</w:t>
      </w:r>
    </w:p>
    <w:p>
      <w:pPr>
        <w:spacing w:after="0" w:line="11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9"/>
          <w:szCs w:val="19"/>
          <w:color w:val="231F20"/>
        </w:rPr>
        <w:t>Share-based compensation expense for the years ended December 31, 2025, 2024, and 2023 is classified as operating expenses in the consolidated statements of operations and comprehensive loss as follows: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2840" w:type="dxa"/>
            <w:vAlign w:val="bottom"/>
            <w:tcBorders>
              <w:bottom w:val="single" w:sz="8" w:color="231F20"/>
            </w:tcBorders>
            <w:gridSpan w:val="9"/>
          </w:tcPr>
          <w:p>
            <w:pPr>
              <w:jc w:val="center"/>
              <w:ind w:left="88"/>
              <w:spacing w:after="0"/>
              <w:rPr>
                <w:sz w:val="20"/>
                <w:szCs w:val="20"/>
                <w:color w:val="auto"/>
              </w:rPr>
            </w:pPr>
            <w:r>
              <w:rPr>
                <w:rFonts w:ascii="Times New Roman" w:cs="Times New Roman" w:eastAsia="Times New Roman" w:hAnsi="Times New Roman"/>
                <w:sz w:val="16"/>
                <w:szCs w:val="16"/>
                <w:b w:val="1"/>
                <w:bCs w:val="1"/>
                <w:color w:val="231F20"/>
                <w:w w:val="96"/>
              </w:rPr>
              <w:t>For the Year Ended December 31,</w:t>
            </w:r>
          </w:p>
        </w:tc>
        <w:tc>
          <w:tcPr>
            <w:tcW w:w="108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line="181" w:lineRule="exact"/>
              <w:rPr>
                <w:sz w:val="20"/>
                <w:szCs w:val="20"/>
                <w:color w:val="auto"/>
              </w:rPr>
            </w:pPr>
            <w:r>
              <w:rPr>
                <w:rFonts w:ascii="Times New Roman" w:cs="Times New Roman" w:eastAsia="Times New Roman" w:hAnsi="Times New Roman"/>
                <w:sz w:val="16"/>
                <w:szCs w:val="16"/>
                <w:b w:val="1"/>
                <w:bCs w:val="1"/>
                <w:color w:val="231F20"/>
              </w:rPr>
              <w:t>2025</w:t>
            </w: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restart"/>
          </w:tcPr>
          <w:p>
            <w:pPr>
              <w:jc w:val="center"/>
              <w:ind w:right="31"/>
              <w:spacing w:after="0" w:line="181" w:lineRule="exact"/>
              <w:rPr>
                <w:sz w:val="20"/>
                <w:szCs w:val="20"/>
                <w:color w:val="auto"/>
              </w:rPr>
            </w:pPr>
            <w:r>
              <w:rPr>
                <w:rFonts w:ascii="Times New Roman" w:cs="Times New Roman" w:eastAsia="Times New Roman" w:hAnsi="Times New Roman"/>
                <w:sz w:val="16"/>
                <w:szCs w:val="16"/>
                <w:b w:val="1"/>
                <w:bCs w:val="1"/>
                <w:color w:val="231F20"/>
                <w:w w:val="93"/>
              </w:rPr>
              <w:t>2024</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vMerge w:val="restart"/>
          </w:tcPr>
          <w:p>
            <w:pPr>
              <w:jc w:val="right"/>
              <w:ind w:right="488"/>
              <w:spacing w:after="0" w:line="181"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231F20"/>
            </w:tcBorders>
            <w:gridSpan w:val="2"/>
            <w:vMerge w:val="continue"/>
          </w:tcPr>
          <w:p>
            <w:pPr>
              <w:spacing w:after="0"/>
              <w:rPr>
                <w:sz w:val="13"/>
                <w:szCs w:val="13"/>
                <w:color w:val="auto"/>
              </w:rPr>
            </w:pPr>
          </w:p>
        </w:tc>
        <w:tc>
          <w:tcPr>
            <w:tcW w:w="560" w:type="dxa"/>
            <w:vAlign w:val="bottom"/>
            <w:tcBorders>
              <w:bottom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1340" w:type="dxa"/>
            <w:vAlign w:val="bottom"/>
            <w:tcBorders>
              <w:bottom w:val="single" w:sz="8" w:color="231F20"/>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260" w:type="dxa"/>
            <w:vAlign w:val="bottom"/>
            <w:tcBorders>
              <w:bottom w:val="single" w:sz="8" w:color="231F20"/>
            </w:tcBorders>
          </w:tcPr>
          <w:p>
            <w:pPr>
              <w:spacing w:after="0"/>
              <w:rPr>
                <w:sz w:val="13"/>
                <w:szCs w:val="13"/>
                <w:color w:val="auto"/>
              </w:rPr>
            </w:pPr>
          </w:p>
        </w:tc>
        <w:tc>
          <w:tcPr>
            <w:tcW w:w="1080" w:type="dxa"/>
            <w:vAlign w:val="bottom"/>
            <w:tcBorders>
              <w:bottom w:val="single" w:sz="8" w:color="231F20"/>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0" w:type="dxa"/>
            <w:vAlign w:val="bottom"/>
            <w:tcBorders>
              <w:bottom w:val="single" w:sz="8" w:color="E2E3E4"/>
            </w:tcBorders>
          </w:tcPr>
          <w:p>
            <w:pPr>
              <w:spacing w:after="0"/>
              <w:rPr>
                <w:sz w:val="15"/>
                <w:szCs w:val="15"/>
                <w:color w:val="auto"/>
              </w:rPr>
            </w:pPr>
          </w:p>
        </w:tc>
        <w:tc>
          <w:tcPr>
            <w:tcW w:w="12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780" w:type="dxa"/>
            <w:vAlign w:val="bottom"/>
            <w:tcBorders>
              <w:bottom w:val="single" w:sz="8" w:color="E2E3E4"/>
            </w:tcBorders>
          </w:tcPr>
          <w:p>
            <w:pPr>
              <w:spacing w:after="0"/>
              <w:rPr>
                <w:sz w:val="15"/>
                <w:szCs w:val="15"/>
                <w:color w:val="auto"/>
              </w:rPr>
            </w:pPr>
          </w:p>
        </w:tc>
        <w:tc>
          <w:tcPr>
            <w:tcW w:w="560" w:type="dxa"/>
            <w:vAlign w:val="bottom"/>
            <w:tcBorders>
              <w:bottom w:val="single" w:sz="8" w:color="E2E3E4"/>
            </w:tcBorders>
          </w:tcPr>
          <w:p>
            <w:pPr>
              <w:spacing w:after="0"/>
              <w:rPr>
                <w:sz w:val="15"/>
                <w:szCs w:val="15"/>
                <w:color w:val="auto"/>
              </w:rPr>
            </w:pPr>
          </w:p>
        </w:tc>
        <w:tc>
          <w:tcPr>
            <w:tcW w:w="22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1340" w:type="dxa"/>
            <w:vAlign w:val="bottom"/>
            <w:tcBorders>
              <w:bottom w:val="single" w:sz="8" w:color="E2E3E4"/>
            </w:tcBorders>
          </w:tcPr>
          <w:p>
            <w:pPr>
              <w:jc w:val="center"/>
              <w:ind w:right="31"/>
              <w:spacing w:after="0" w:line="173" w:lineRule="exact"/>
              <w:rPr>
                <w:sz w:val="20"/>
                <w:szCs w:val="20"/>
                <w:color w:val="auto"/>
              </w:rPr>
            </w:pPr>
            <w:r>
              <w:rPr>
                <w:rFonts w:ascii="Times New Roman" w:cs="Times New Roman" w:eastAsia="Times New Roman" w:hAnsi="Times New Roman"/>
                <w:sz w:val="16"/>
                <w:szCs w:val="16"/>
                <w:color w:val="231F20"/>
                <w:w w:val="98"/>
              </w:rPr>
              <w:t>(in thousands)</w:t>
            </w:r>
          </w:p>
        </w:tc>
        <w:tc>
          <w:tcPr>
            <w:tcW w:w="22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260" w:type="dxa"/>
            <w:vAlign w:val="bottom"/>
            <w:tcBorders>
              <w:bottom w:val="single" w:sz="8" w:color="E2E3E4"/>
            </w:tcBorders>
          </w:tcPr>
          <w:p>
            <w:pPr>
              <w:spacing w:after="0"/>
              <w:rPr>
                <w:sz w:val="15"/>
                <w:szCs w:val="15"/>
                <w:color w:val="auto"/>
              </w:rPr>
            </w:pPr>
          </w:p>
        </w:tc>
        <w:tc>
          <w:tcPr>
            <w:tcW w:w="108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80" w:type="dxa"/>
            <w:vAlign w:val="bottom"/>
            <w:tcBorders>
              <w:bottom w:val="single" w:sz="8" w:color="E2E3E4"/>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E2E3E4"/>
          </w:tcPr>
          <w:p>
            <w:pPr>
              <w:spacing w:after="0" w:line="215" w:lineRule="exact"/>
              <w:rPr>
                <w:sz w:val="20"/>
                <w:szCs w:val="20"/>
                <w:color w:val="auto"/>
              </w:rPr>
            </w:pPr>
            <w:r>
              <w:rPr>
                <w:rFonts w:ascii="Times New Roman" w:cs="Times New Roman" w:eastAsia="Times New Roman" w:hAnsi="Times New Roman"/>
                <w:sz w:val="19"/>
                <w:szCs w:val="19"/>
                <w:color w:val="231F20"/>
              </w:rPr>
              <w:t>Research and development expenses</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780" w:type="dxa"/>
            <w:vAlign w:val="bottom"/>
            <w:shd w:val="clear" w:color="auto" w:fill="E2E3E4"/>
          </w:tcPr>
          <w:p>
            <w:pPr>
              <w:spacing w:after="0"/>
              <w:rPr>
                <w:sz w:val="18"/>
                <w:szCs w:val="18"/>
                <w:color w:val="auto"/>
              </w:rPr>
            </w:pPr>
          </w:p>
        </w:tc>
        <w:tc>
          <w:tcPr>
            <w:tcW w:w="56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11,337</w:t>
            </w:r>
          </w:p>
        </w:tc>
        <w:tc>
          <w:tcPr>
            <w:tcW w:w="2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4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6,332</w:t>
            </w:r>
          </w:p>
        </w:tc>
        <w:tc>
          <w:tcPr>
            <w:tcW w:w="2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260" w:type="dxa"/>
            <w:vAlign w:val="bottom"/>
            <w:shd w:val="clear" w:color="auto" w:fill="E2E3E4"/>
          </w:tcPr>
          <w:p>
            <w:pPr>
              <w:spacing w:after="0"/>
              <w:rPr>
                <w:sz w:val="18"/>
                <w:szCs w:val="18"/>
                <w:color w:val="auto"/>
              </w:rPr>
            </w:pPr>
          </w:p>
        </w:tc>
        <w:tc>
          <w:tcPr>
            <w:tcW w:w="108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4,617</w:t>
            </w: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40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General and administrative expenses</w:t>
            </w:r>
          </w:p>
        </w:tc>
        <w:tc>
          <w:tcPr>
            <w:tcW w:w="12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13,636</w:t>
            </w:r>
          </w:p>
        </w:tc>
        <w:tc>
          <w:tcPr>
            <w:tcW w:w="22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3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6,809</w:t>
            </w:r>
          </w:p>
        </w:tc>
        <w:tc>
          <w:tcPr>
            <w:tcW w:w="22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5,178</w:t>
            </w:r>
          </w:p>
        </w:tc>
        <w:tc>
          <w:tcPr>
            <w:tcW w:w="20" w:type="dxa"/>
            <w:vAlign w:val="bottom"/>
            <w:tcBorders>
              <w:bottom w:val="single" w:sz="8" w:color="E2E3E4"/>
            </w:tcBorders>
          </w:tcPr>
          <w:p>
            <w:pPr>
              <w:spacing w:after="0"/>
              <w:rPr>
                <w:sz w:val="22"/>
                <w:szCs w:val="22"/>
                <w:color w:val="auto"/>
              </w:rPr>
            </w:pPr>
          </w:p>
        </w:tc>
        <w:tc>
          <w:tcPr>
            <w:tcW w:w="80" w:type="dxa"/>
            <w:vAlign w:val="bottom"/>
            <w:tcBorders>
              <w:bottom w:val="single" w:sz="8" w:color="E2E3E4"/>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400" w:type="dxa"/>
            <w:vAlign w:val="bottom"/>
            <w:tcBorders>
              <w:top w:val="single" w:sz="8" w:color="E2E3E4"/>
            </w:tcBorders>
            <w:shd w:val="clear" w:color="auto" w:fill="E2E3E4"/>
          </w:tcPr>
          <w:p>
            <w:pPr>
              <w:spacing w:after="0" w:line="208" w:lineRule="exact"/>
              <w:rPr>
                <w:sz w:val="20"/>
                <w:szCs w:val="20"/>
                <w:color w:val="auto"/>
              </w:rPr>
            </w:pPr>
            <w:r>
              <w:rPr>
                <w:rFonts w:ascii="Times New Roman" w:cs="Times New Roman" w:eastAsia="Times New Roman" w:hAnsi="Times New Roman"/>
                <w:sz w:val="19"/>
                <w:szCs w:val="19"/>
                <w:color w:val="231F20"/>
              </w:rPr>
              <w:t>Total share-based compensation expense</w:t>
            </w:r>
          </w:p>
        </w:tc>
        <w:tc>
          <w:tcPr>
            <w:tcW w:w="12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780" w:type="dxa"/>
            <w:vAlign w:val="bottom"/>
            <w:tcBorders>
              <w:top w:val="single" w:sz="8" w:color="E2E3E4"/>
              <w:bottom w:val="single" w:sz="8" w:color="231F20"/>
            </w:tcBorders>
            <w:shd w:val="clear" w:color="auto" w:fill="E2E3E4"/>
          </w:tcPr>
          <w:p>
            <w:pPr>
              <w:spacing w:after="0"/>
              <w:rPr>
                <w:sz w:val="18"/>
                <w:szCs w:val="18"/>
                <w:color w:val="auto"/>
              </w:rPr>
            </w:pPr>
          </w:p>
        </w:tc>
        <w:tc>
          <w:tcPr>
            <w:tcW w:w="56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24,973</w:t>
            </w:r>
          </w:p>
        </w:tc>
        <w:tc>
          <w:tcPr>
            <w:tcW w:w="22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34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13,141</w:t>
            </w:r>
          </w:p>
        </w:tc>
        <w:tc>
          <w:tcPr>
            <w:tcW w:w="22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260" w:type="dxa"/>
            <w:vAlign w:val="bottom"/>
            <w:tcBorders>
              <w:top w:val="single" w:sz="8" w:color="E2E3E4"/>
              <w:bottom w:val="single" w:sz="8" w:color="231F20"/>
            </w:tcBorders>
            <w:shd w:val="clear" w:color="auto" w:fill="E2E3E4"/>
          </w:tcPr>
          <w:p>
            <w:pPr>
              <w:spacing w:after="0"/>
              <w:rPr>
                <w:sz w:val="18"/>
                <w:szCs w:val="18"/>
                <w:color w:val="auto"/>
              </w:rPr>
            </w:pPr>
          </w:p>
        </w:tc>
        <w:tc>
          <w:tcPr>
            <w:tcW w:w="108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9,795</w:t>
            </w:r>
          </w:p>
        </w:tc>
        <w:tc>
          <w:tcPr>
            <w:tcW w:w="20" w:type="dxa"/>
            <w:vAlign w:val="bottom"/>
            <w:tcBorders>
              <w:top w:val="single" w:sz="8" w:color="E2E3E4"/>
            </w:tcBorders>
            <w:shd w:val="clear" w:color="auto" w:fill="E2E3E4"/>
          </w:tcPr>
          <w:p>
            <w:pPr>
              <w:spacing w:after="0"/>
              <w:rPr>
                <w:sz w:val="18"/>
                <w:szCs w:val="18"/>
                <w:color w:val="auto"/>
              </w:rPr>
            </w:pPr>
          </w:p>
        </w:tc>
        <w:tc>
          <w:tcPr>
            <w:tcW w:w="80" w:type="dxa"/>
            <w:vAlign w:val="bottom"/>
            <w:tcBorders>
              <w:top w:val="single" w:sz="8" w:color="E2E3E4"/>
            </w:tcBorders>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8. LEASES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Lease Arrangements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Company enters into lease arrangements for its facilities. A summary of the arrangements is as follows: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Operating Leases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Lexington</w:t>
      </w:r>
    </w:p>
    <w:p>
      <w:pPr>
        <w:spacing w:after="0" w:line="11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231F20"/>
        </w:rPr>
        <w:t>On September 26, 2016, and as amended on December 31, 2016, the Company entered into a 10 year and 9-month lease, which includes two successive five-year renewal options, for its facility in Lexington, Massachusetts, which the Company uses primarily for its current good manufacturing practices (“cGMP”) manufacturing, as well as for additional laboratory and office space. As there is not reasonable certainty that the renewal options will be exercised, the lease liabilities and the right-of-use assets pertaining to the Lexington Lease do not account for the two successive five-year renewal options.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approximately $2.8 million in a separate bank account as of December 31, 2025 and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Cambridge</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In April 2015, the Company entered into a lease agreement for an office and laboratory facility in Cambridge, Massachusetts (the “Cambridge Lease”), which commenced in October 2015 with a term of 7.5 years with a five-year renewal option to extend the lease.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$1.0 million in a separate bank account as of December 31, 2025 and 2024.</w:t>
      </w:r>
    </w:p>
    <w:p>
      <w:pPr>
        <w:spacing w:after="0" w:line="29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231F20"/>
        </w:rPr>
        <w:t>In December 2020, the Company exercised its option under the Cambridge Lease to lease the additional office and laboratory space at the existing facility. The combined space constitutes the entire building. The lease for the additional space commenced on October 1, 2021, with a term of five years and is considered a separate lease from the Cambridge Lease. On the commencement date, the Company utilized the operating lease classification and recorded a right-of-use asset and corresponding operating lease liability of $4.5 million and began recognizing straight-line rent expense under ASC 842. Throughout the term of the lease, the Company is responsible for paying certain costs and expenses, in addition to the rent, as specified in the lease, including a proportionate share of applicable taxes, operating expenses and utilities.</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In June 2022, the Company exercised the five-year renewal option under the Cambridge Lease to extend the lease term through March 2028 (the “Cambridge Lease Extension”). Therefore, as required by ASC 842, the Company calculated an incremental borrowing rate of 10.53% and remeasured the right-of-use asset and the lease liabilities related to the Cambridge Lease Extension. As a result, an additional $12.0 million of operating right-of-use asset and corresponding operating lease liabilities were recorded relating to the Cambridge Lease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F-21</w:t>
      </w:r>
    </w:p>
    <w:p>
      <w:pPr>
        <w:sectPr>
          <w:pgSz w:w="11880" w:h="15480" w:orient="portrait"/>
          <w:cols w:equalWidth="0" w:num="1">
            <w:col w:w="10440"/>
          </w:cols>
          <w:pgMar w:left="700" w:top="965" w:right="740" w:bottom="213"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9"/>
          <w:szCs w:val="19"/>
          <w:color w:val="231F20"/>
        </w:rPr>
        <w:t>The following table contains a summary of the lease costs recognized under ASC 842 and other information pertaining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Company’s operating leases for the years ended December 31, 2025 and 2024:</w:t>
      </w:r>
    </w:p>
    <w:p>
      <w:pPr>
        <w:spacing w:after="0" w:line="261" w:lineRule="exact"/>
        <w:rPr>
          <w:sz w:val="20"/>
          <w:szCs w:val="20"/>
          <w:color w:val="auto"/>
        </w:rPr>
      </w:pPr>
    </w:p>
    <w:tbl>
      <w:tblPr>
        <w:tblLayout w:type="fixed"/>
        <w:tblInd w:w="158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8"/>
          </w:tcPr>
          <w:p>
            <w:pPr>
              <w:jc w:val="center"/>
              <w:ind w:left="568"/>
              <w:spacing w:after="0"/>
              <w:rPr>
                <w:sz w:val="20"/>
                <w:szCs w:val="20"/>
                <w:color w:val="auto"/>
              </w:rPr>
            </w:pPr>
            <w:r>
              <w:rPr>
                <w:rFonts w:ascii="Times New Roman" w:cs="Times New Roman" w:eastAsia="Times New Roman" w:hAnsi="Times New Roman"/>
                <w:sz w:val="16"/>
                <w:szCs w:val="16"/>
                <w:b w:val="1"/>
                <w:bCs w:val="1"/>
                <w:color w:val="231F20"/>
                <w:w w:val="97"/>
              </w:rPr>
              <w:t>For the Year Ended December 31,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3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7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7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22"/>
                <w:szCs w:val="22"/>
                <w:color w:val="auto"/>
              </w:rPr>
            </w:pPr>
          </w:p>
        </w:tc>
      </w:tr>
      <w:tr>
        <w:trPr>
          <w:trHeight w:val="215"/>
        </w:trPr>
        <w:tc>
          <w:tcPr>
            <w:tcW w:w="3160" w:type="dxa"/>
            <w:vAlign w:val="bottom"/>
            <w:tcBorders>
              <w:bottom w:val="single" w:sz="8" w:color="E2E3E4"/>
            </w:tcBorders>
          </w:tcPr>
          <w:p>
            <w:pPr>
              <w:spacing w:after="0"/>
              <w:rPr>
                <w:sz w:val="18"/>
                <w:szCs w:val="18"/>
                <w:color w:val="auto"/>
              </w:rPr>
            </w:pPr>
          </w:p>
        </w:tc>
        <w:tc>
          <w:tcPr>
            <w:tcW w:w="100" w:type="dxa"/>
            <w:vAlign w:val="bottom"/>
            <w:tcBorders>
              <w:bottom w:val="single" w:sz="8" w:color="E2E3E4"/>
            </w:tcBorders>
          </w:tcPr>
          <w:p>
            <w:pPr>
              <w:spacing w:after="0"/>
              <w:rPr>
                <w:sz w:val="18"/>
                <w:szCs w:val="18"/>
                <w:color w:val="auto"/>
              </w:rPr>
            </w:pPr>
          </w:p>
        </w:tc>
        <w:tc>
          <w:tcPr>
            <w:tcW w:w="100" w:type="dxa"/>
            <w:vAlign w:val="bottom"/>
            <w:tcBorders>
              <w:bottom w:val="single" w:sz="8" w:color="E2E3E4"/>
            </w:tcBorders>
          </w:tcPr>
          <w:p>
            <w:pPr>
              <w:spacing w:after="0"/>
              <w:rPr>
                <w:sz w:val="18"/>
                <w:szCs w:val="18"/>
                <w:color w:val="auto"/>
              </w:rPr>
            </w:pPr>
          </w:p>
        </w:tc>
        <w:tc>
          <w:tcPr>
            <w:tcW w:w="1020" w:type="dxa"/>
            <w:vAlign w:val="bottom"/>
            <w:tcBorders>
              <w:bottom w:val="single" w:sz="8" w:color="E2E3E4"/>
            </w:tcBorders>
          </w:tcPr>
          <w:p>
            <w:pPr>
              <w:spacing w:after="0"/>
              <w:rPr>
                <w:sz w:val="18"/>
                <w:szCs w:val="18"/>
                <w:color w:val="auto"/>
              </w:rPr>
            </w:pPr>
          </w:p>
        </w:tc>
        <w:tc>
          <w:tcPr>
            <w:tcW w:w="170" w:type="dxa"/>
            <w:vAlign w:val="bottom"/>
            <w:tcBorders>
              <w:bottom w:val="single" w:sz="8" w:color="E2E3E4"/>
            </w:tcBorders>
          </w:tcPr>
          <w:p>
            <w:pPr>
              <w:spacing w:after="0"/>
              <w:rPr>
                <w:sz w:val="18"/>
                <w:szCs w:val="18"/>
                <w:color w:val="auto"/>
              </w:rPr>
            </w:pPr>
          </w:p>
        </w:tc>
        <w:tc>
          <w:tcPr>
            <w:tcW w:w="110" w:type="dxa"/>
            <w:vAlign w:val="bottom"/>
            <w:tcBorders>
              <w:bottom w:val="single" w:sz="8" w:color="E2E3E4"/>
            </w:tcBorders>
          </w:tcPr>
          <w:p>
            <w:pPr>
              <w:spacing w:after="0"/>
              <w:rPr>
                <w:sz w:val="18"/>
                <w:szCs w:val="18"/>
                <w:color w:val="auto"/>
              </w:rPr>
            </w:pPr>
          </w:p>
        </w:tc>
        <w:tc>
          <w:tcPr>
            <w:tcW w:w="100" w:type="dxa"/>
            <w:vAlign w:val="bottom"/>
            <w:tcBorders>
              <w:bottom w:val="single" w:sz="8" w:color="E2E3E4"/>
            </w:tcBorders>
          </w:tcPr>
          <w:p>
            <w:pPr>
              <w:spacing w:after="0"/>
              <w:rPr>
                <w:sz w:val="18"/>
                <w:szCs w:val="18"/>
                <w:color w:val="auto"/>
              </w:rPr>
            </w:pPr>
          </w:p>
        </w:tc>
        <w:tc>
          <w:tcPr>
            <w:tcW w:w="1280" w:type="dxa"/>
            <w:vAlign w:val="bottom"/>
            <w:tcBorders>
              <w:bottom w:val="single" w:sz="8" w:color="E2E3E4"/>
            </w:tcBorders>
            <w:gridSpan w:val="3"/>
          </w:tcPr>
          <w:p>
            <w:pPr>
              <w:jc w:val="center"/>
              <w:ind w:right="400"/>
              <w:spacing w:after="0"/>
              <w:rPr>
                <w:sz w:val="20"/>
                <w:szCs w:val="20"/>
                <w:color w:val="auto"/>
              </w:rPr>
            </w:pPr>
            <w:r>
              <w:rPr>
                <w:rFonts w:ascii="Times New Roman" w:cs="Times New Roman" w:eastAsia="Times New Roman" w:hAnsi="Times New Roman"/>
                <w:sz w:val="16"/>
                <w:szCs w:val="16"/>
                <w:color w:val="231F20"/>
                <w:w w:val="96"/>
              </w:rPr>
              <w:t>(in thousands)</w:t>
            </w:r>
          </w:p>
        </w:tc>
        <w:tc>
          <w:tcPr>
            <w:tcW w:w="340" w:type="dxa"/>
            <w:vAlign w:val="bottom"/>
            <w:tcBorders>
              <w:bottom w:val="single" w:sz="8" w:color="E2E3E4"/>
            </w:tcBorders>
          </w:tcPr>
          <w:p>
            <w:pPr>
              <w:spacing w:after="0"/>
              <w:rPr>
                <w:sz w:val="18"/>
                <w:szCs w:val="18"/>
                <w:color w:val="auto"/>
              </w:rPr>
            </w:pPr>
          </w:p>
        </w:tc>
        <w:tc>
          <w:tcPr>
            <w:tcW w:w="760" w:type="dxa"/>
            <w:vAlign w:val="bottom"/>
            <w:tcBorders>
              <w:bottom w:val="single" w:sz="8" w:color="E2E3E4"/>
            </w:tcBorders>
          </w:tcPr>
          <w:p>
            <w:pPr>
              <w:spacing w:after="0"/>
              <w:rPr>
                <w:sz w:val="18"/>
                <w:szCs w:val="18"/>
                <w:color w:val="auto"/>
              </w:rPr>
            </w:pPr>
          </w:p>
        </w:tc>
        <w:tc>
          <w:tcPr>
            <w:tcW w:w="180" w:type="dxa"/>
            <w:vAlign w:val="bottom"/>
            <w:tcBorders>
              <w:bottom w:val="single" w:sz="8" w:color="E2E3E4"/>
            </w:tcBorders>
          </w:tcPr>
          <w:p>
            <w:pPr>
              <w:spacing w:after="0"/>
              <w:rPr>
                <w:sz w:val="18"/>
                <w:szCs w:val="18"/>
                <w:color w:val="auto"/>
              </w:rPr>
            </w:pPr>
          </w:p>
        </w:tc>
      </w:tr>
      <w:tr>
        <w:trPr>
          <w:trHeight w:val="217"/>
        </w:trPr>
        <w:tc>
          <w:tcPr>
            <w:tcW w:w="316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b w:val="1"/>
                <w:bCs w:val="1"/>
                <w:color w:val="231F20"/>
              </w:rPr>
              <w:t>Lease cost</w:t>
            </w:r>
          </w:p>
        </w:tc>
        <w:tc>
          <w:tcPr>
            <w:tcW w:w="10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020" w:type="dxa"/>
            <w:vAlign w:val="bottom"/>
            <w:shd w:val="clear" w:color="auto" w:fill="E2E3E4"/>
          </w:tcPr>
          <w:p>
            <w:pPr>
              <w:spacing w:after="0"/>
              <w:rPr>
                <w:sz w:val="18"/>
                <w:szCs w:val="18"/>
                <w:color w:val="auto"/>
              </w:rPr>
            </w:pPr>
          </w:p>
        </w:tc>
        <w:tc>
          <w:tcPr>
            <w:tcW w:w="170" w:type="dxa"/>
            <w:vAlign w:val="bottom"/>
            <w:shd w:val="clear" w:color="auto" w:fill="E2E3E4"/>
          </w:tcPr>
          <w:p>
            <w:pPr>
              <w:spacing w:after="0"/>
              <w:rPr>
                <w:sz w:val="18"/>
                <w:szCs w:val="18"/>
                <w:color w:val="auto"/>
              </w:rPr>
            </w:pPr>
          </w:p>
        </w:tc>
        <w:tc>
          <w:tcPr>
            <w:tcW w:w="11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000" w:type="dxa"/>
            <w:vAlign w:val="bottom"/>
            <w:shd w:val="clear" w:color="auto" w:fill="E2E3E4"/>
          </w:tcPr>
          <w:p>
            <w:pPr>
              <w:spacing w:after="0"/>
              <w:rPr>
                <w:sz w:val="18"/>
                <w:szCs w:val="18"/>
                <w:color w:val="auto"/>
              </w:rPr>
            </w:pPr>
          </w:p>
        </w:tc>
        <w:tc>
          <w:tcPr>
            <w:tcW w:w="170" w:type="dxa"/>
            <w:vAlign w:val="bottom"/>
            <w:shd w:val="clear" w:color="auto" w:fill="E2E3E4"/>
          </w:tcPr>
          <w:p>
            <w:pPr>
              <w:spacing w:after="0"/>
              <w:rPr>
                <w:sz w:val="18"/>
                <w:szCs w:val="18"/>
                <w:color w:val="auto"/>
              </w:rPr>
            </w:pPr>
          </w:p>
        </w:tc>
        <w:tc>
          <w:tcPr>
            <w:tcW w:w="11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7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r>
      <w:tr>
        <w:trPr>
          <w:trHeight w:val="235"/>
        </w:trPr>
        <w:tc>
          <w:tcPr>
            <w:tcW w:w="316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Operating lease cost</w:t>
            </w:r>
          </w:p>
        </w:tc>
        <w:tc>
          <w:tcPr>
            <w:tcW w:w="200" w:type="dxa"/>
            <w:vAlign w:val="bottom"/>
            <w:tcBorders>
              <w:bottom w:val="single" w:sz="8" w:color="E2E3E4"/>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7,365</w:t>
            </w:r>
          </w:p>
        </w:tc>
        <w:tc>
          <w:tcPr>
            <w:tcW w:w="170" w:type="dxa"/>
            <w:vAlign w:val="bottom"/>
            <w:tcBorders>
              <w:bottom w:val="single" w:sz="8" w:color="E2E3E4"/>
            </w:tcBorders>
          </w:tcPr>
          <w:p>
            <w:pPr>
              <w:spacing w:after="0"/>
              <w:rPr>
                <w:sz w:val="20"/>
                <w:szCs w:val="20"/>
                <w:color w:val="auto"/>
              </w:rPr>
            </w:pPr>
          </w:p>
        </w:tc>
        <w:tc>
          <w:tcPr>
            <w:tcW w:w="11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7,365</w:t>
            </w:r>
          </w:p>
        </w:tc>
        <w:tc>
          <w:tcPr>
            <w:tcW w:w="170" w:type="dxa"/>
            <w:vAlign w:val="bottom"/>
            <w:tcBorders>
              <w:bottom w:val="single" w:sz="8" w:color="E2E3E4"/>
            </w:tcBorders>
          </w:tcPr>
          <w:p>
            <w:pPr>
              <w:spacing w:after="0"/>
              <w:rPr>
                <w:sz w:val="20"/>
                <w:szCs w:val="20"/>
                <w:color w:val="auto"/>
              </w:rPr>
            </w:pPr>
          </w:p>
        </w:tc>
        <w:tc>
          <w:tcPr>
            <w:tcW w:w="110" w:type="dxa"/>
            <w:vAlign w:val="bottom"/>
            <w:tcBorders>
              <w:bottom w:val="single" w:sz="8" w:color="E2E3E4"/>
            </w:tcBorders>
          </w:tcPr>
          <w:p>
            <w:pPr>
              <w:spacing w:after="0"/>
              <w:rPr>
                <w:sz w:val="20"/>
                <w:szCs w:val="20"/>
                <w:color w:val="auto"/>
              </w:rPr>
            </w:pPr>
          </w:p>
        </w:tc>
        <w:tc>
          <w:tcPr>
            <w:tcW w:w="340" w:type="dxa"/>
            <w:vAlign w:val="bottom"/>
            <w:tcBorders>
              <w:bottom w:val="single" w:sz="8" w:color="E2E3E4"/>
            </w:tcBorders>
          </w:tcPr>
          <w:p>
            <w:pPr>
              <w:jc w:val="right"/>
              <w:ind w:right="143"/>
              <w:spacing w:after="0"/>
              <w:rPr>
                <w:sz w:val="20"/>
                <w:szCs w:val="20"/>
                <w:color w:val="auto"/>
              </w:rPr>
            </w:pPr>
            <w:r>
              <w:rPr>
                <w:rFonts w:ascii="Times New Roman" w:cs="Times New Roman" w:eastAsia="Times New Roman" w:hAnsi="Times New Roman"/>
                <w:sz w:val="19"/>
                <w:szCs w:val="19"/>
                <w:color w:val="231F20"/>
                <w:w w:val="83"/>
              </w:rPr>
              <w:t>$</w:t>
            </w:r>
          </w:p>
        </w:tc>
        <w:tc>
          <w:tcPr>
            <w:tcW w:w="7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7,365</w:t>
            </w:r>
          </w:p>
        </w:tc>
        <w:tc>
          <w:tcPr>
            <w:tcW w:w="180" w:type="dxa"/>
            <w:vAlign w:val="bottom"/>
            <w:tcBorders>
              <w:bottom w:val="single" w:sz="8" w:color="E2E3E4"/>
            </w:tcBorders>
          </w:tcPr>
          <w:p>
            <w:pPr>
              <w:spacing w:after="0"/>
              <w:rPr>
                <w:sz w:val="20"/>
                <w:szCs w:val="20"/>
                <w:color w:val="auto"/>
              </w:rPr>
            </w:pPr>
          </w:p>
        </w:tc>
      </w:tr>
      <w:tr>
        <w:trPr>
          <w:trHeight w:val="237"/>
        </w:trPr>
        <w:tc>
          <w:tcPr>
            <w:tcW w:w="3160" w:type="dxa"/>
            <w:vAlign w:val="bottom"/>
            <w:tcBorders>
              <w:bottom w:val="single" w:sz="8" w:color="E2E3E4"/>
            </w:tcBorders>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Variable lease cost</w:t>
            </w:r>
          </w:p>
        </w:tc>
        <w:tc>
          <w:tcPr>
            <w:tcW w:w="10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02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3,083</w:t>
            </w:r>
          </w:p>
        </w:tc>
        <w:tc>
          <w:tcPr>
            <w:tcW w:w="170" w:type="dxa"/>
            <w:vAlign w:val="bottom"/>
            <w:tcBorders>
              <w:bottom w:val="single" w:sz="8" w:color="E2E3E4"/>
            </w:tcBorders>
            <w:shd w:val="clear" w:color="auto" w:fill="E2E3E4"/>
          </w:tcPr>
          <w:p>
            <w:pPr>
              <w:spacing w:after="0"/>
              <w:rPr>
                <w:sz w:val="20"/>
                <w:szCs w:val="20"/>
                <w:color w:val="auto"/>
              </w:rPr>
            </w:pPr>
          </w:p>
        </w:tc>
        <w:tc>
          <w:tcPr>
            <w:tcW w:w="11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100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2,998</w:t>
            </w:r>
          </w:p>
        </w:tc>
        <w:tc>
          <w:tcPr>
            <w:tcW w:w="170" w:type="dxa"/>
            <w:vAlign w:val="bottom"/>
            <w:tcBorders>
              <w:bottom w:val="single" w:sz="8" w:color="E2E3E4"/>
            </w:tcBorders>
            <w:shd w:val="clear" w:color="auto" w:fill="E2E3E4"/>
          </w:tcPr>
          <w:p>
            <w:pPr>
              <w:spacing w:after="0"/>
              <w:rPr>
                <w:sz w:val="20"/>
                <w:szCs w:val="20"/>
                <w:color w:val="auto"/>
              </w:rPr>
            </w:pPr>
          </w:p>
        </w:tc>
        <w:tc>
          <w:tcPr>
            <w:tcW w:w="110" w:type="dxa"/>
            <w:vAlign w:val="bottom"/>
            <w:tcBorders>
              <w:bottom w:val="single" w:sz="8" w:color="E2E3E4"/>
            </w:tcBorders>
            <w:shd w:val="clear" w:color="auto" w:fill="E2E3E4"/>
          </w:tcPr>
          <w:p>
            <w:pPr>
              <w:spacing w:after="0"/>
              <w:rPr>
                <w:sz w:val="20"/>
                <w:szCs w:val="20"/>
                <w:color w:val="auto"/>
              </w:rPr>
            </w:pPr>
          </w:p>
        </w:tc>
        <w:tc>
          <w:tcPr>
            <w:tcW w:w="340" w:type="dxa"/>
            <w:vAlign w:val="bottom"/>
            <w:tcBorders>
              <w:bottom w:val="single" w:sz="8" w:color="231F20"/>
            </w:tcBorders>
            <w:shd w:val="clear" w:color="auto" w:fill="E2E3E4"/>
          </w:tcPr>
          <w:p>
            <w:pPr>
              <w:spacing w:after="0"/>
              <w:rPr>
                <w:sz w:val="20"/>
                <w:szCs w:val="20"/>
                <w:color w:val="auto"/>
              </w:rPr>
            </w:pPr>
          </w:p>
        </w:tc>
        <w:tc>
          <w:tcPr>
            <w:tcW w:w="760" w:type="dxa"/>
            <w:vAlign w:val="bottom"/>
            <w:tcBorders>
              <w:bottom w:val="single" w:sz="8" w:color="231F20"/>
            </w:tcBorders>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2,798</w:t>
            </w:r>
          </w:p>
        </w:tc>
        <w:tc>
          <w:tcPr>
            <w:tcW w:w="180" w:type="dxa"/>
            <w:vAlign w:val="bottom"/>
            <w:tcBorders>
              <w:bottom w:val="single" w:sz="8" w:color="E2E3E4"/>
            </w:tcBorders>
            <w:shd w:val="clear" w:color="auto" w:fill="E2E3E4"/>
          </w:tcPr>
          <w:p>
            <w:pPr>
              <w:spacing w:after="0"/>
              <w:rPr>
                <w:sz w:val="20"/>
                <w:szCs w:val="20"/>
                <w:color w:val="auto"/>
              </w:rPr>
            </w:pPr>
          </w:p>
        </w:tc>
      </w:tr>
      <w:tr>
        <w:trPr>
          <w:trHeight w:val="247"/>
        </w:trPr>
        <w:tc>
          <w:tcPr>
            <w:tcW w:w="3160" w:type="dxa"/>
            <w:vAlign w:val="bottom"/>
            <w:tcBorders>
              <w:bottom w:val="single" w:sz="8" w:color="E2E3E4"/>
            </w:tcBorders>
          </w:tcPr>
          <w:p>
            <w:pPr>
              <w:spacing w:after="0" w:line="207" w:lineRule="exact"/>
              <w:rPr>
                <w:sz w:val="20"/>
                <w:szCs w:val="20"/>
                <w:color w:val="auto"/>
              </w:rPr>
            </w:pPr>
            <w:r>
              <w:rPr>
                <w:rFonts w:ascii="Times New Roman" w:cs="Times New Roman" w:eastAsia="Times New Roman" w:hAnsi="Times New Roman"/>
                <w:sz w:val="19"/>
                <w:szCs w:val="19"/>
                <w:b w:val="1"/>
                <w:bCs w:val="1"/>
                <w:color w:val="231F20"/>
              </w:rPr>
              <w:t>Total lease cost</w:t>
            </w:r>
          </w:p>
        </w:tc>
        <w:tc>
          <w:tcPr>
            <w:tcW w:w="100" w:type="dxa"/>
            <w:vAlign w:val="bottom"/>
            <w:tcBorders>
              <w:bottom w:val="single" w:sz="8" w:color="E2E3E4"/>
            </w:tcBorders>
          </w:tcPr>
          <w:p>
            <w:pPr>
              <w:spacing w:after="0"/>
              <w:rPr>
                <w:sz w:val="21"/>
                <w:szCs w:val="21"/>
                <w:color w:val="auto"/>
              </w:rPr>
            </w:pPr>
          </w:p>
        </w:tc>
        <w:tc>
          <w:tcPr>
            <w:tcW w:w="1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10,448</w:t>
            </w:r>
          </w:p>
        </w:tc>
        <w:tc>
          <w:tcPr>
            <w:tcW w:w="170" w:type="dxa"/>
            <w:vAlign w:val="bottom"/>
            <w:tcBorders>
              <w:bottom w:val="single" w:sz="8" w:color="E2E3E4"/>
            </w:tcBorders>
          </w:tcPr>
          <w:p>
            <w:pPr>
              <w:spacing w:after="0"/>
              <w:rPr>
                <w:sz w:val="21"/>
                <w:szCs w:val="21"/>
                <w:color w:val="auto"/>
              </w:rPr>
            </w:pPr>
          </w:p>
        </w:tc>
        <w:tc>
          <w:tcPr>
            <w:tcW w:w="110" w:type="dxa"/>
            <w:vAlign w:val="bottom"/>
            <w:tcBorders>
              <w:bottom w:val="single" w:sz="8" w:color="E2E3E4"/>
            </w:tcBorders>
          </w:tcPr>
          <w:p>
            <w:pPr>
              <w:spacing w:after="0"/>
              <w:rPr>
                <w:sz w:val="21"/>
                <w:szCs w:val="21"/>
                <w:color w:val="auto"/>
              </w:rPr>
            </w:pPr>
          </w:p>
        </w:tc>
        <w:tc>
          <w:tcPr>
            <w:tcW w:w="1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10,363</w:t>
            </w:r>
          </w:p>
        </w:tc>
        <w:tc>
          <w:tcPr>
            <w:tcW w:w="170" w:type="dxa"/>
            <w:vAlign w:val="bottom"/>
            <w:tcBorders>
              <w:bottom w:val="single" w:sz="8" w:color="E2E3E4"/>
            </w:tcBorders>
          </w:tcPr>
          <w:p>
            <w:pPr>
              <w:spacing w:after="0"/>
              <w:rPr>
                <w:sz w:val="21"/>
                <w:szCs w:val="21"/>
                <w:color w:val="auto"/>
              </w:rPr>
            </w:pPr>
          </w:p>
        </w:tc>
        <w:tc>
          <w:tcPr>
            <w:tcW w:w="110" w:type="dxa"/>
            <w:vAlign w:val="bottom"/>
            <w:tcBorders>
              <w:bottom w:val="single" w:sz="8" w:color="E2E3E4"/>
            </w:tcBorders>
          </w:tcPr>
          <w:p>
            <w:pPr>
              <w:spacing w:after="0"/>
              <w:rPr>
                <w:sz w:val="21"/>
                <w:szCs w:val="21"/>
                <w:color w:val="auto"/>
              </w:rPr>
            </w:pPr>
          </w:p>
        </w:tc>
        <w:tc>
          <w:tcPr>
            <w:tcW w:w="340" w:type="dxa"/>
            <w:vAlign w:val="bottom"/>
            <w:tcBorders>
              <w:bottom w:val="single" w:sz="8" w:color="231F20"/>
            </w:tcBorders>
          </w:tcPr>
          <w:p>
            <w:pPr>
              <w:jc w:val="right"/>
              <w:ind w:right="143"/>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76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10,163</w:t>
            </w:r>
          </w:p>
        </w:tc>
        <w:tc>
          <w:tcPr>
            <w:tcW w:w="180" w:type="dxa"/>
            <w:vAlign w:val="bottom"/>
            <w:tcBorders>
              <w:bottom w:val="single" w:sz="8" w:color="E2E3E4"/>
            </w:tcBorders>
          </w:tcPr>
          <w:p>
            <w:pPr>
              <w:spacing w:after="0"/>
              <w:rPr>
                <w:sz w:val="21"/>
                <w:szCs w:val="21"/>
                <w:color w:val="auto"/>
              </w:rPr>
            </w:pPr>
          </w:p>
        </w:tc>
      </w:tr>
      <w:tr>
        <w:trPr>
          <w:trHeight w:val="219"/>
        </w:trPr>
        <w:tc>
          <w:tcPr>
            <w:tcW w:w="316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020" w:type="dxa"/>
            <w:vAlign w:val="bottom"/>
            <w:shd w:val="clear" w:color="auto" w:fill="E2E3E4"/>
          </w:tcPr>
          <w:p>
            <w:pPr>
              <w:spacing w:after="0"/>
              <w:rPr>
                <w:sz w:val="19"/>
                <w:szCs w:val="19"/>
                <w:color w:val="auto"/>
              </w:rPr>
            </w:pPr>
          </w:p>
        </w:tc>
        <w:tc>
          <w:tcPr>
            <w:tcW w:w="170" w:type="dxa"/>
            <w:vAlign w:val="bottom"/>
            <w:shd w:val="clear" w:color="auto" w:fill="E2E3E4"/>
          </w:tcPr>
          <w:p>
            <w:pPr>
              <w:spacing w:after="0"/>
              <w:rPr>
                <w:sz w:val="19"/>
                <w:szCs w:val="19"/>
                <w:color w:val="auto"/>
              </w:rPr>
            </w:pPr>
          </w:p>
        </w:tc>
        <w:tc>
          <w:tcPr>
            <w:tcW w:w="11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1000" w:type="dxa"/>
            <w:vAlign w:val="bottom"/>
            <w:shd w:val="clear" w:color="auto" w:fill="E2E3E4"/>
          </w:tcPr>
          <w:p>
            <w:pPr>
              <w:spacing w:after="0"/>
              <w:rPr>
                <w:sz w:val="19"/>
                <w:szCs w:val="19"/>
                <w:color w:val="auto"/>
              </w:rPr>
            </w:pPr>
          </w:p>
        </w:tc>
        <w:tc>
          <w:tcPr>
            <w:tcW w:w="170" w:type="dxa"/>
            <w:vAlign w:val="bottom"/>
            <w:shd w:val="clear" w:color="auto" w:fill="E2E3E4"/>
          </w:tcPr>
          <w:p>
            <w:pPr>
              <w:spacing w:after="0"/>
              <w:rPr>
                <w:sz w:val="19"/>
                <w:szCs w:val="19"/>
                <w:color w:val="auto"/>
              </w:rPr>
            </w:pPr>
          </w:p>
        </w:tc>
        <w:tc>
          <w:tcPr>
            <w:tcW w:w="110" w:type="dxa"/>
            <w:vAlign w:val="bottom"/>
            <w:shd w:val="clear" w:color="auto" w:fill="E2E3E4"/>
          </w:tcPr>
          <w:p>
            <w:pPr>
              <w:spacing w:after="0"/>
              <w:rPr>
                <w:sz w:val="19"/>
                <w:szCs w:val="19"/>
                <w:color w:val="auto"/>
              </w:rPr>
            </w:pPr>
          </w:p>
        </w:tc>
        <w:tc>
          <w:tcPr>
            <w:tcW w:w="340" w:type="dxa"/>
            <w:vAlign w:val="bottom"/>
            <w:shd w:val="clear" w:color="auto" w:fill="E2E3E4"/>
          </w:tcPr>
          <w:p>
            <w:pPr>
              <w:spacing w:after="0"/>
              <w:rPr>
                <w:sz w:val="19"/>
                <w:szCs w:val="19"/>
                <w:color w:val="auto"/>
              </w:rPr>
            </w:pPr>
          </w:p>
        </w:tc>
        <w:tc>
          <w:tcPr>
            <w:tcW w:w="76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r>
      <w:tr>
        <w:trPr>
          <w:trHeight w:val="237"/>
        </w:trPr>
        <w:tc>
          <w:tcPr>
            <w:tcW w:w="316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b w:val="1"/>
                <w:bCs w:val="1"/>
                <w:color w:val="231F20"/>
              </w:rPr>
              <w:t>Other information</w:t>
            </w:r>
          </w:p>
        </w:tc>
        <w:tc>
          <w:tcPr>
            <w:tcW w:w="10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020" w:type="dxa"/>
            <w:vAlign w:val="bottom"/>
            <w:tcBorders>
              <w:bottom w:val="single" w:sz="8" w:color="E2E3E4"/>
            </w:tcBorders>
          </w:tcPr>
          <w:p>
            <w:pPr>
              <w:spacing w:after="0"/>
              <w:rPr>
                <w:sz w:val="20"/>
                <w:szCs w:val="20"/>
                <w:color w:val="auto"/>
              </w:rPr>
            </w:pPr>
          </w:p>
        </w:tc>
        <w:tc>
          <w:tcPr>
            <w:tcW w:w="170" w:type="dxa"/>
            <w:vAlign w:val="bottom"/>
            <w:tcBorders>
              <w:bottom w:val="single" w:sz="8" w:color="E2E3E4"/>
            </w:tcBorders>
          </w:tcPr>
          <w:p>
            <w:pPr>
              <w:spacing w:after="0"/>
              <w:rPr>
                <w:sz w:val="20"/>
                <w:szCs w:val="20"/>
                <w:color w:val="auto"/>
              </w:rPr>
            </w:pPr>
          </w:p>
        </w:tc>
        <w:tc>
          <w:tcPr>
            <w:tcW w:w="11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000" w:type="dxa"/>
            <w:vAlign w:val="bottom"/>
            <w:tcBorders>
              <w:bottom w:val="single" w:sz="8" w:color="E2E3E4"/>
            </w:tcBorders>
          </w:tcPr>
          <w:p>
            <w:pPr>
              <w:spacing w:after="0"/>
              <w:rPr>
                <w:sz w:val="20"/>
                <w:szCs w:val="20"/>
                <w:color w:val="auto"/>
              </w:rPr>
            </w:pPr>
          </w:p>
        </w:tc>
        <w:tc>
          <w:tcPr>
            <w:tcW w:w="170" w:type="dxa"/>
            <w:vAlign w:val="bottom"/>
            <w:tcBorders>
              <w:bottom w:val="single" w:sz="8" w:color="E2E3E4"/>
            </w:tcBorders>
          </w:tcPr>
          <w:p>
            <w:pPr>
              <w:spacing w:after="0"/>
              <w:rPr>
                <w:sz w:val="20"/>
                <w:szCs w:val="20"/>
                <w:color w:val="auto"/>
              </w:rPr>
            </w:pPr>
          </w:p>
        </w:tc>
        <w:tc>
          <w:tcPr>
            <w:tcW w:w="110" w:type="dxa"/>
            <w:vAlign w:val="bottom"/>
            <w:tcBorders>
              <w:bottom w:val="single" w:sz="8" w:color="E2E3E4"/>
            </w:tcBorders>
          </w:tcPr>
          <w:p>
            <w:pPr>
              <w:spacing w:after="0"/>
              <w:rPr>
                <w:sz w:val="20"/>
                <w:szCs w:val="20"/>
                <w:color w:val="auto"/>
              </w:rPr>
            </w:pPr>
          </w:p>
        </w:tc>
        <w:tc>
          <w:tcPr>
            <w:tcW w:w="340" w:type="dxa"/>
            <w:vAlign w:val="bottom"/>
            <w:tcBorders>
              <w:bottom w:val="single" w:sz="8" w:color="E2E3E4"/>
            </w:tcBorders>
          </w:tcPr>
          <w:p>
            <w:pPr>
              <w:spacing w:after="0"/>
              <w:rPr>
                <w:sz w:val="20"/>
                <w:szCs w:val="20"/>
                <w:color w:val="auto"/>
              </w:rPr>
            </w:pPr>
          </w:p>
        </w:tc>
        <w:tc>
          <w:tcPr>
            <w:tcW w:w="760" w:type="dxa"/>
            <w:vAlign w:val="bottom"/>
            <w:tcBorders>
              <w:bottom w:val="single" w:sz="8" w:color="E2E3E4"/>
            </w:tcBorders>
          </w:tcPr>
          <w:p>
            <w:pPr>
              <w:spacing w:after="0"/>
              <w:rPr>
                <w:sz w:val="20"/>
                <w:szCs w:val="20"/>
                <w:color w:val="auto"/>
              </w:rPr>
            </w:pPr>
          </w:p>
        </w:tc>
        <w:tc>
          <w:tcPr>
            <w:tcW w:w="180" w:type="dxa"/>
            <w:vAlign w:val="bottom"/>
            <w:tcBorders>
              <w:bottom w:val="single" w:sz="8" w:color="E2E3E4"/>
            </w:tcBorders>
          </w:tcPr>
          <w:p>
            <w:pPr>
              <w:spacing w:after="0"/>
              <w:rPr>
                <w:sz w:val="20"/>
                <w:szCs w:val="20"/>
                <w:color w:val="auto"/>
              </w:rPr>
            </w:pPr>
          </w:p>
        </w:tc>
      </w:tr>
      <w:tr>
        <w:trPr>
          <w:trHeight w:val="217"/>
        </w:trPr>
        <w:tc>
          <w:tcPr>
            <w:tcW w:w="316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Operating cash flows used for operating</w:t>
            </w:r>
          </w:p>
        </w:tc>
        <w:tc>
          <w:tcPr>
            <w:tcW w:w="10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020" w:type="dxa"/>
            <w:vAlign w:val="bottom"/>
            <w:shd w:val="clear" w:color="auto" w:fill="E2E3E4"/>
          </w:tcPr>
          <w:p>
            <w:pPr>
              <w:spacing w:after="0"/>
              <w:rPr>
                <w:sz w:val="18"/>
                <w:szCs w:val="18"/>
                <w:color w:val="auto"/>
              </w:rPr>
            </w:pPr>
          </w:p>
        </w:tc>
        <w:tc>
          <w:tcPr>
            <w:tcW w:w="170" w:type="dxa"/>
            <w:vAlign w:val="bottom"/>
            <w:shd w:val="clear" w:color="auto" w:fill="E2E3E4"/>
          </w:tcPr>
          <w:p>
            <w:pPr>
              <w:spacing w:after="0"/>
              <w:rPr>
                <w:sz w:val="18"/>
                <w:szCs w:val="18"/>
                <w:color w:val="auto"/>
              </w:rPr>
            </w:pPr>
          </w:p>
        </w:tc>
        <w:tc>
          <w:tcPr>
            <w:tcW w:w="11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000" w:type="dxa"/>
            <w:vAlign w:val="bottom"/>
            <w:shd w:val="clear" w:color="auto" w:fill="E2E3E4"/>
          </w:tcPr>
          <w:p>
            <w:pPr>
              <w:spacing w:after="0"/>
              <w:rPr>
                <w:sz w:val="18"/>
                <w:szCs w:val="18"/>
                <w:color w:val="auto"/>
              </w:rPr>
            </w:pPr>
          </w:p>
        </w:tc>
        <w:tc>
          <w:tcPr>
            <w:tcW w:w="170" w:type="dxa"/>
            <w:vAlign w:val="bottom"/>
            <w:shd w:val="clear" w:color="auto" w:fill="E2E3E4"/>
          </w:tcPr>
          <w:p>
            <w:pPr>
              <w:spacing w:after="0"/>
              <w:rPr>
                <w:sz w:val="18"/>
                <w:szCs w:val="18"/>
                <w:color w:val="auto"/>
              </w:rPr>
            </w:pPr>
          </w:p>
        </w:tc>
        <w:tc>
          <w:tcPr>
            <w:tcW w:w="11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76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r>
      <w:tr>
        <w:trPr>
          <w:trHeight w:val="223"/>
        </w:trPr>
        <w:tc>
          <w:tcPr>
            <w:tcW w:w="31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leases</w:t>
            </w:r>
          </w:p>
        </w:tc>
        <w:tc>
          <w:tcPr>
            <w:tcW w:w="100" w:type="dxa"/>
            <w:vAlign w:val="bottom"/>
            <w:shd w:val="clear" w:color="auto" w:fill="E2E3E4"/>
          </w:tcPr>
          <w:p>
            <w:pPr>
              <w:spacing w:after="0"/>
              <w:rPr>
                <w:sz w:val="19"/>
                <w:szCs w:val="19"/>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0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9,591</w:t>
            </w:r>
          </w:p>
        </w:tc>
        <w:tc>
          <w:tcPr>
            <w:tcW w:w="170" w:type="dxa"/>
            <w:vAlign w:val="bottom"/>
            <w:shd w:val="clear" w:color="auto" w:fill="E2E3E4"/>
          </w:tcPr>
          <w:p>
            <w:pPr>
              <w:spacing w:after="0"/>
              <w:rPr>
                <w:sz w:val="19"/>
                <w:szCs w:val="19"/>
                <w:color w:val="auto"/>
              </w:rPr>
            </w:pPr>
          </w:p>
        </w:tc>
        <w:tc>
          <w:tcPr>
            <w:tcW w:w="110" w:type="dxa"/>
            <w:vAlign w:val="bottom"/>
            <w:shd w:val="clear" w:color="auto" w:fill="E2E3E4"/>
          </w:tcPr>
          <w:p>
            <w:pPr>
              <w:spacing w:after="0"/>
              <w:rPr>
                <w:sz w:val="19"/>
                <w:szCs w:val="19"/>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0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9,311</w:t>
            </w:r>
          </w:p>
        </w:tc>
        <w:tc>
          <w:tcPr>
            <w:tcW w:w="170" w:type="dxa"/>
            <w:vAlign w:val="bottom"/>
            <w:shd w:val="clear" w:color="auto" w:fill="E2E3E4"/>
          </w:tcPr>
          <w:p>
            <w:pPr>
              <w:spacing w:after="0"/>
              <w:rPr>
                <w:sz w:val="19"/>
                <w:szCs w:val="19"/>
                <w:color w:val="auto"/>
              </w:rPr>
            </w:pPr>
          </w:p>
        </w:tc>
        <w:tc>
          <w:tcPr>
            <w:tcW w:w="110" w:type="dxa"/>
            <w:vAlign w:val="bottom"/>
            <w:shd w:val="clear" w:color="auto" w:fill="E2E3E4"/>
          </w:tcPr>
          <w:p>
            <w:pPr>
              <w:spacing w:after="0"/>
              <w:rPr>
                <w:sz w:val="19"/>
                <w:szCs w:val="19"/>
                <w:color w:val="auto"/>
              </w:rPr>
            </w:pPr>
          </w:p>
        </w:tc>
        <w:tc>
          <w:tcPr>
            <w:tcW w:w="340" w:type="dxa"/>
            <w:vAlign w:val="bottom"/>
            <w:shd w:val="clear" w:color="auto" w:fill="E2E3E4"/>
          </w:tcPr>
          <w:p>
            <w:pPr>
              <w:jc w:val="right"/>
              <w:ind w:right="143"/>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7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8,655</w:t>
            </w:r>
          </w:p>
        </w:tc>
        <w:tc>
          <w:tcPr>
            <w:tcW w:w="180" w:type="dxa"/>
            <w:vAlign w:val="bottom"/>
            <w:shd w:val="clear" w:color="auto" w:fill="E2E3E4"/>
          </w:tcPr>
          <w:p>
            <w:pPr>
              <w:spacing w:after="0"/>
              <w:rPr>
                <w:sz w:val="19"/>
                <w:szCs w:val="19"/>
                <w:color w:val="auto"/>
              </w:rPr>
            </w:pPr>
          </w:p>
        </w:tc>
      </w:tr>
      <w:tr>
        <w:trPr>
          <w:trHeight w:val="235"/>
        </w:trPr>
        <w:tc>
          <w:tcPr>
            <w:tcW w:w="316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Weighted average remaining lease term</w:t>
            </w:r>
          </w:p>
        </w:tc>
        <w:tc>
          <w:tcPr>
            <w:tcW w:w="10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300" w:type="dxa"/>
            <w:vAlign w:val="bottom"/>
            <w:tcBorders>
              <w:bottom w:val="single" w:sz="8" w:color="E2E3E4"/>
            </w:tcBorders>
            <w:gridSpan w:val="3"/>
          </w:tcPr>
          <w:p>
            <w:pPr>
              <w:ind w:left="440"/>
              <w:spacing w:after="0"/>
              <w:rPr>
                <w:sz w:val="20"/>
                <w:szCs w:val="20"/>
                <w:color w:val="auto"/>
              </w:rPr>
            </w:pPr>
            <w:r>
              <w:rPr>
                <w:rFonts w:ascii="Times New Roman" w:cs="Times New Roman" w:eastAsia="Times New Roman" w:hAnsi="Times New Roman"/>
                <w:sz w:val="19"/>
                <w:szCs w:val="19"/>
                <w:color w:val="231F20"/>
              </w:rPr>
              <w:t>2 years</w:t>
            </w:r>
          </w:p>
        </w:tc>
        <w:tc>
          <w:tcPr>
            <w:tcW w:w="100" w:type="dxa"/>
            <w:vAlign w:val="bottom"/>
            <w:tcBorders>
              <w:bottom w:val="single" w:sz="8" w:color="E2E3E4"/>
            </w:tcBorders>
          </w:tcPr>
          <w:p>
            <w:pPr>
              <w:spacing w:after="0"/>
              <w:rPr>
                <w:sz w:val="20"/>
                <w:szCs w:val="20"/>
                <w:color w:val="auto"/>
              </w:rPr>
            </w:pPr>
          </w:p>
        </w:tc>
        <w:tc>
          <w:tcPr>
            <w:tcW w:w="1280" w:type="dxa"/>
            <w:vAlign w:val="bottom"/>
            <w:tcBorders>
              <w:bottom w:val="single" w:sz="8" w:color="E2E3E4"/>
            </w:tcBorders>
            <w:gridSpan w:val="3"/>
          </w:tcPr>
          <w:p>
            <w:pPr>
              <w:ind w:left="440"/>
              <w:spacing w:after="0"/>
              <w:rPr>
                <w:sz w:val="20"/>
                <w:szCs w:val="20"/>
                <w:color w:val="auto"/>
              </w:rPr>
            </w:pPr>
            <w:r>
              <w:rPr>
                <w:rFonts w:ascii="Times New Roman" w:cs="Times New Roman" w:eastAsia="Times New Roman" w:hAnsi="Times New Roman"/>
                <w:sz w:val="19"/>
                <w:szCs w:val="19"/>
                <w:color w:val="231F20"/>
              </w:rPr>
              <w:t>3 years</w:t>
            </w:r>
          </w:p>
        </w:tc>
        <w:tc>
          <w:tcPr>
            <w:tcW w:w="34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gridSpan w:val="2"/>
          </w:tcPr>
          <w:p>
            <w:pPr>
              <w:jc w:val="right"/>
              <w:ind w:right="83"/>
              <w:spacing w:after="0"/>
              <w:rPr>
                <w:sz w:val="20"/>
                <w:szCs w:val="20"/>
                <w:color w:val="auto"/>
              </w:rPr>
            </w:pPr>
            <w:r>
              <w:rPr>
                <w:rFonts w:ascii="Times New Roman" w:cs="Times New Roman" w:eastAsia="Times New Roman" w:hAnsi="Times New Roman"/>
                <w:sz w:val="19"/>
                <w:szCs w:val="19"/>
                <w:color w:val="231F20"/>
              </w:rPr>
              <w:t>4 years</w:t>
            </w:r>
          </w:p>
        </w:tc>
      </w:tr>
      <w:tr>
        <w:trPr>
          <w:trHeight w:val="217"/>
        </w:trPr>
        <w:tc>
          <w:tcPr>
            <w:tcW w:w="31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Weighted average discount rate</w:t>
            </w:r>
          </w:p>
        </w:tc>
        <w:tc>
          <w:tcPr>
            <w:tcW w:w="10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0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9.3</w:t>
            </w:r>
          </w:p>
        </w:tc>
        <w:tc>
          <w:tcPr>
            <w:tcW w:w="17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8"/>
                <w:shd w:val="clear" w:color="auto" w:fill="E2E3E4"/>
              </w:rPr>
              <w:t>%</w:t>
            </w:r>
          </w:p>
        </w:tc>
        <w:tc>
          <w:tcPr>
            <w:tcW w:w="11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0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9.2</w:t>
            </w:r>
          </w:p>
        </w:tc>
        <w:tc>
          <w:tcPr>
            <w:tcW w:w="17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8"/>
                <w:shd w:val="clear" w:color="auto" w:fill="E2E3E4"/>
              </w:rPr>
              <w:t>%</w:t>
            </w:r>
          </w:p>
        </w:tc>
        <w:tc>
          <w:tcPr>
            <w:tcW w:w="110" w:type="dxa"/>
            <w:vAlign w:val="bottom"/>
            <w:shd w:val="clear" w:color="auto" w:fill="E2E3E4"/>
          </w:tcPr>
          <w:p>
            <w:pPr>
              <w:spacing w:after="0"/>
              <w:rPr>
                <w:sz w:val="18"/>
                <w:szCs w:val="18"/>
                <w:color w:val="auto"/>
              </w:rPr>
            </w:pPr>
          </w:p>
        </w:tc>
        <w:tc>
          <w:tcPr>
            <w:tcW w:w="340" w:type="dxa"/>
            <w:vAlign w:val="bottom"/>
            <w:shd w:val="clear" w:color="auto" w:fill="E2E3E4"/>
          </w:tcPr>
          <w:p>
            <w:pPr>
              <w:spacing w:after="0"/>
              <w:rPr>
                <w:sz w:val="18"/>
                <w:szCs w:val="18"/>
                <w:color w:val="auto"/>
              </w:rPr>
            </w:pPr>
          </w:p>
        </w:tc>
        <w:tc>
          <w:tcPr>
            <w:tcW w:w="7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9.2</w:t>
            </w:r>
          </w:p>
        </w:tc>
        <w:tc>
          <w:tcPr>
            <w:tcW w:w="1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shd w:val="clear" w:color="auto" w:fill="E2E3E4"/>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3079115</wp:posOffset>
                </wp:positionH>
                <wp:positionV relativeFrom="paragraph">
                  <wp:posOffset>-1670050</wp:posOffset>
                </wp:positionV>
                <wp:extent cx="70358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580" cy="4763"/>
                        </a:xfrm>
                        <a:prstGeom prst="line">
                          <a:avLst/>
                        </a:prstGeom>
                        <a:solidFill>
                          <a:srgbClr val="FFFFFF"/>
                        </a:solidFill>
                        <a:ln w="2959">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45pt,-131.4999pt" to="297.85pt,-131.4999pt" o:allowincell="f" strokecolor="#FFFFFF" strokeweight="0.233pt"/>
            </w:pict>
          </mc:Fallback>
        </mc:AlternateContent>
        <mc:AlternateContent>
          <mc:Choice Requires="wps">
            <w:drawing>
              <wp:anchor simplePos="0" relativeHeight="251657728" behindDoc="1" locked="0" layoutInCell="0" allowOverlap="1">
                <wp:simplePos x="0" y="0"/>
                <wp:positionH relativeFrom="column">
                  <wp:posOffset>3958590</wp:posOffset>
                </wp:positionH>
                <wp:positionV relativeFrom="paragraph">
                  <wp:posOffset>-1670050</wp:posOffset>
                </wp:positionV>
                <wp:extent cx="70358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580" cy="4763"/>
                        </a:xfrm>
                        <a:prstGeom prst="line">
                          <a:avLst/>
                        </a:prstGeom>
                        <a:solidFill>
                          <a:srgbClr val="FFFFFF"/>
                        </a:solidFill>
                        <a:ln w="2959">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7pt,-131.4999pt" to="367.1pt,-131.4999pt" o:allowincell="f" strokecolor="#FFFFFF" strokeweight="0.233pt"/>
            </w:pict>
          </mc:Fallback>
        </mc:AlternateContent>
        <mc:AlternateContent>
          <mc:Choice Requires="wps">
            <w:drawing>
              <wp:anchor simplePos="0" relativeHeight="251657728" behindDoc="1" locked="0" layoutInCell="0" allowOverlap="1">
                <wp:simplePos x="0" y="0"/>
                <wp:positionH relativeFrom="column">
                  <wp:posOffset>4838065</wp:posOffset>
                </wp:positionH>
                <wp:positionV relativeFrom="paragraph">
                  <wp:posOffset>-1670050</wp:posOffset>
                </wp:positionV>
                <wp:extent cx="70548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5485" cy="4763"/>
                        </a:xfrm>
                        <a:prstGeom prst="line">
                          <a:avLst/>
                        </a:prstGeom>
                        <a:solidFill>
                          <a:srgbClr val="FFFFFF"/>
                        </a:solidFill>
                        <a:ln w="2959">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95pt,-131.4999pt" to="436.5pt,-131.4999pt" o:allowincell="f" strokecolor="#FFFFFF" strokeweight="0.233pt"/>
            </w:pict>
          </mc:Fallback>
        </mc:AlternateContent>
        <mc:AlternateContent>
          <mc:Choice Requires="wps">
            <w:drawing>
              <wp:anchor simplePos="0" relativeHeight="251657728" behindDoc="1" locked="0" layoutInCell="0" allowOverlap="1">
                <wp:simplePos x="0" y="0"/>
                <wp:positionH relativeFrom="column">
                  <wp:posOffset>997585</wp:posOffset>
                </wp:positionH>
                <wp:positionV relativeFrom="paragraph">
                  <wp:posOffset>-1069975</wp:posOffset>
                </wp:positionV>
                <wp:extent cx="208153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1530" cy="4763"/>
                        </a:xfrm>
                        <a:prstGeom prst="line">
                          <a:avLst/>
                        </a:prstGeom>
                        <a:solidFill>
                          <a:srgbClr val="FFFFFF"/>
                        </a:solidFill>
                        <a:ln w="14783">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5pt,-84.2499pt" to="242.45pt,-84.2499pt" o:allowincell="f" strokecolor="#FFFFFF" strokeweight="1.164pt"/>
            </w:pict>
          </mc:Fallback>
        </mc:AlternateContent>
        <mc:AlternateContent>
          <mc:Choice Requires="wps">
            <w:drawing>
              <wp:anchor simplePos="0" relativeHeight="251657728" behindDoc="1" locked="0" layoutInCell="0" allowOverlap="1">
                <wp:simplePos x="0" y="0"/>
                <wp:positionH relativeFrom="column">
                  <wp:posOffset>3079115</wp:posOffset>
                </wp:positionH>
                <wp:positionV relativeFrom="paragraph">
                  <wp:posOffset>-1066800</wp:posOffset>
                </wp:positionV>
                <wp:extent cx="70358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58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45pt,-84pt" to="297.85pt,-84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3782695</wp:posOffset>
                </wp:positionH>
                <wp:positionV relativeFrom="paragraph">
                  <wp:posOffset>-1069975</wp:posOffset>
                </wp:positionV>
                <wp:extent cx="17589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895" cy="4763"/>
                        </a:xfrm>
                        <a:prstGeom prst="line">
                          <a:avLst/>
                        </a:prstGeom>
                        <a:solidFill>
                          <a:srgbClr val="FFFFFF"/>
                        </a:solidFill>
                        <a:ln w="14783">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85pt,-84.2499pt" to="311.7pt,-84.2499pt" o:allowincell="f" strokecolor="#FFFFFF" strokeweight="1.164pt"/>
            </w:pict>
          </mc:Fallback>
        </mc:AlternateContent>
        <mc:AlternateContent>
          <mc:Choice Requires="wps">
            <w:drawing>
              <wp:anchor simplePos="0" relativeHeight="251657728" behindDoc="1" locked="0" layoutInCell="0" allowOverlap="1">
                <wp:simplePos x="0" y="0"/>
                <wp:positionH relativeFrom="column">
                  <wp:posOffset>3958590</wp:posOffset>
                </wp:positionH>
                <wp:positionV relativeFrom="paragraph">
                  <wp:posOffset>-1066800</wp:posOffset>
                </wp:positionV>
                <wp:extent cx="70358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58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7pt,-84pt" to="367.1pt,-84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4662170</wp:posOffset>
                </wp:positionH>
                <wp:positionV relativeFrom="paragraph">
                  <wp:posOffset>-1069975</wp:posOffset>
                </wp:positionV>
                <wp:extent cx="17589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895" cy="4763"/>
                        </a:xfrm>
                        <a:prstGeom prst="line">
                          <a:avLst/>
                        </a:prstGeom>
                        <a:solidFill>
                          <a:srgbClr val="FFFFFF"/>
                        </a:solidFill>
                        <a:ln w="14783">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1pt,-84.2499pt" to="380.95pt,-84.2499pt" o:allowincell="f" strokecolor="#FFFFFF" strokeweight="1.164pt"/>
            </w:pict>
          </mc:Fallback>
        </mc:AlternateContent>
        <mc:AlternateContent>
          <mc:Choice Requires="wps">
            <w:drawing>
              <wp:anchor simplePos="0" relativeHeight="251657728" behindDoc="1" locked="0" layoutInCell="0" allowOverlap="1">
                <wp:simplePos x="0" y="0"/>
                <wp:positionH relativeFrom="column">
                  <wp:posOffset>4838065</wp:posOffset>
                </wp:positionH>
                <wp:positionV relativeFrom="paragraph">
                  <wp:posOffset>-1066800</wp:posOffset>
                </wp:positionV>
                <wp:extent cx="70548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548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95pt,-84pt" to="436.5pt,-84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5543550</wp:posOffset>
                </wp:positionH>
                <wp:positionV relativeFrom="paragraph">
                  <wp:posOffset>-1069975</wp:posOffset>
                </wp:positionV>
                <wp:extent cx="11049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 cy="4763"/>
                        </a:xfrm>
                        <a:prstGeom prst="line">
                          <a:avLst/>
                        </a:prstGeom>
                        <a:solidFill>
                          <a:srgbClr val="FFFFFF"/>
                        </a:solidFill>
                        <a:ln w="14783">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5pt,-84.2499pt" to="445.2pt,-84.2499pt" o:allowincell="f" strokecolor="#FFFFFF" strokeweight="1.164pt"/>
            </w:pict>
          </mc:Fallback>
        </mc:AlternateContent>
        <mc:AlternateContent>
          <mc:Choice Requires="wps">
            <w:drawing>
              <wp:anchor simplePos="0" relativeHeight="251657728" behindDoc="1" locked="0" layoutInCell="0" allowOverlap="1">
                <wp:simplePos x="0" y="0"/>
                <wp:positionH relativeFrom="column">
                  <wp:posOffset>997585</wp:posOffset>
                </wp:positionH>
                <wp:positionV relativeFrom="paragraph">
                  <wp:posOffset>-737235</wp:posOffset>
                </wp:positionV>
                <wp:extent cx="465645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6455" cy="4763"/>
                        </a:xfrm>
                        <a:prstGeom prst="line">
                          <a:avLst/>
                        </a:prstGeom>
                        <a:solidFill>
                          <a:srgbClr val="FFFFFF"/>
                        </a:solidFill>
                        <a:ln w="8876">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5pt,-58.0499pt" to="445.2pt,-58.0499pt" o:allowincell="f" strokecolor="#FFFFFF" strokeweight="0.6989pt"/>
            </w:pict>
          </mc:Fallback>
        </mc:AlternateConten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Future minimum lease payments under the Company’s non-cancelable operating leases as of December 31, 2025, are as follows:</w:t>
      </w:r>
    </w:p>
    <w:p>
      <w:pPr>
        <w:spacing w:after="0" w:line="287" w:lineRule="exact"/>
        <w:rPr>
          <w:sz w:val="20"/>
          <w:szCs w:val="20"/>
          <w:color w:val="auto"/>
        </w:rPr>
      </w:pPr>
    </w:p>
    <w:tbl>
      <w:tblPr>
        <w:tblLayout w:type="fixed"/>
        <w:tblInd w:w="1580" w:type="dxa"/>
        <w:tblCellMar>
          <w:top w:w="0" w:type="dxa"/>
          <w:left w:w="0" w:type="dxa"/>
          <w:bottom w:w="0" w:type="dxa"/>
          <w:right w:w="0" w:type="dxa"/>
        </w:tblCellMar>
      </w:tblPr>
      <w:tr>
        <w:trPr>
          <w:trHeight w:val="196"/>
        </w:trPr>
        <w:tc>
          <w:tcPr>
            <w:tcW w:w="511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820" w:type="dxa"/>
            <w:vAlign w:val="bottom"/>
            <w:tcBorders>
              <w:bottom w:val="single" w:sz="8" w:color="231F20"/>
            </w:tcBorders>
          </w:tcPr>
          <w:p>
            <w:pPr>
              <w:jc w:val="center"/>
              <w:ind w:right="8"/>
              <w:spacing w:after="0"/>
              <w:rPr>
                <w:sz w:val="20"/>
                <w:szCs w:val="20"/>
                <w:color w:val="auto"/>
              </w:rPr>
            </w:pPr>
            <w:r>
              <w:rPr>
                <w:rFonts w:ascii="Times New Roman" w:cs="Times New Roman" w:eastAsia="Times New Roman" w:hAnsi="Times New Roman"/>
                <w:sz w:val="16"/>
                <w:szCs w:val="16"/>
                <w:b w:val="1"/>
                <w:bCs w:val="1"/>
                <w:color w:val="231F20"/>
                <w:w w:val="97"/>
              </w:rPr>
              <w:t>As of December 31, 2025</w:t>
            </w:r>
          </w:p>
        </w:tc>
        <w:tc>
          <w:tcPr>
            <w:tcW w:w="80" w:type="dxa"/>
            <w:vAlign w:val="bottom"/>
            <w:gridSpan w:val="2"/>
          </w:tcPr>
          <w:p>
            <w:pPr>
              <w:spacing w:after="0"/>
              <w:rPr>
                <w:sz w:val="17"/>
                <w:szCs w:val="17"/>
                <w:color w:val="auto"/>
              </w:rPr>
            </w:pPr>
          </w:p>
        </w:tc>
      </w:tr>
      <w:tr>
        <w:trPr>
          <w:trHeight w:val="227"/>
        </w:trPr>
        <w:tc>
          <w:tcPr>
            <w:tcW w:w="511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231F20"/>
                <w:w w:val="96"/>
              </w:rPr>
              <w:t>(in thousands)</w:t>
            </w:r>
          </w:p>
        </w:tc>
      </w:tr>
      <w:tr>
        <w:trPr>
          <w:trHeight w:val="235"/>
        </w:trPr>
        <w:tc>
          <w:tcPr>
            <w:tcW w:w="51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2026</w:t>
            </w:r>
          </w:p>
        </w:tc>
        <w:tc>
          <w:tcPr>
            <w:tcW w:w="19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8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9,584</w:t>
            </w:r>
          </w:p>
        </w:tc>
        <w:tc>
          <w:tcPr>
            <w:tcW w:w="20" w:type="dxa"/>
            <w:vAlign w:val="bottom"/>
            <w:shd w:val="clear" w:color="auto" w:fill="E2E3E4"/>
          </w:tcPr>
          <w:p>
            <w:pPr>
              <w:spacing w:after="0"/>
              <w:rPr>
                <w:sz w:val="20"/>
                <w:szCs w:val="20"/>
                <w:color w:val="auto"/>
              </w:rPr>
            </w:pPr>
          </w:p>
        </w:tc>
        <w:tc>
          <w:tcPr>
            <w:tcW w:w="60" w:type="dxa"/>
            <w:vAlign w:val="bottom"/>
            <w:shd w:val="clear" w:color="auto" w:fill="E2E3E4"/>
          </w:tcPr>
          <w:p>
            <w:pPr>
              <w:spacing w:after="0"/>
              <w:rPr>
                <w:sz w:val="20"/>
                <w:szCs w:val="20"/>
                <w:color w:val="auto"/>
              </w:rPr>
            </w:pPr>
          </w:p>
        </w:tc>
      </w:tr>
      <w:tr>
        <w:trPr>
          <w:trHeight w:val="237"/>
        </w:trPr>
        <w:tc>
          <w:tcPr>
            <w:tcW w:w="511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1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8,987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1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2028</w:t>
            </w:r>
          </w:p>
        </w:tc>
        <w:tc>
          <w:tcPr>
            <w:tcW w:w="19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82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886</w:t>
            </w:r>
          </w:p>
        </w:tc>
        <w:tc>
          <w:tcPr>
            <w:tcW w:w="20" w:type="dxa"/>
            <w:vAlign w:val="bottom"/>
            <w:shd w:val="clear" w:color="auto" w:fill="E2E3E4"/>
          </w:tcPr>
          <w:p>
            <w:pPr>
              <w:spacing w:after="0"/>
              <w:rPr>
                <w:sz w:val="20"/>
                <w:szCs w:val="20"/>
                <w:color w:val="auto"/>
              </w:rPr>
            </w:pPr>
          </w:p>
        </w:tc>
        <w:tc>
          <w:tcPr>
            <w:tcW w:w="60" w:type="dxa"/>
            <w:vAlign w:val="bottom"/>
            <w:shd w:val="clear" w:color="auto" w:fill="E2E3E4"/>
          </w:tcPr>
          <w:p>
            <w:pPr>
              <w:spacing w:after="0"/>
              <w:rPr>
                <w:sz w:val="20"/>
                <w:szCs w:val="20"/>
                <w:color w:val="auto"/>
              </w:rPr>
            </w:pPr>
          </w:p>
        </w:tc>
      </w:tr>
      <w:tr>
        <w:trPr>
          <w:trHeight w:val="237"/>
        </w:trPr>
        <w:tc>
          <w:tcPr>
            <w:tcW w:w="511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2029 and thereafter</w:t>
            </w:r>
          </w:p>
        </w:tc>
        <w:tc>
          <w:tcPr>
            <w:tcW w:w="19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tcBorders>
              <w:bottom w:val="single" w:sz="8" w:color="E2E3E4"/>
            </w:tcBorders>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r>
      <w:tr>
        <w:trPr>
          <w:trHeight w:val="244"/>
        </w:trPr>
        <w:tc>
          <w:tcPr>
            <w:tcW w:w="5110" w:type="dxa"/>
            <w:vAlign w:val="bottom"/>
            <w:tcBorders>
              <w:bottom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lease payments</w:t>
            </w:r>
          </w:p>
        </w:tc>
        <w:tc>
          <w:tcPr>
            <w:tcW w:w="190" w:type="dxa"/>
            <w:vAlign w:val="bottom"/>
            <w:tcBorders>
              <w:bottom w:val="single" w:sz="8" w:color="E2E3E4"/>
            </w:tcBorders>
            <w:shd w:val="clear" w:color="auto" w:fill="E2E3E4"/>
          </w:tcPr>
          <w:p>
            <w:pPr>
              <w:spacing w:after="0"/>
              <w:rPr>
                <w:sz w:val="21"/>
                <w:szCs w:val="21"/>
                <w:color w:val="auto"/>
              </w:rPr>
            </w:pPr>
          </w:p>
        </w:tc>
        <w:tc>
          <w:tcPr>
            <w:tcW w:w="20" w:type="dxa"/>
            <w:vAlign w:val="bottom"/>
            <w:tcBorders>
              <w:bottom w:val="single" w:sz="8" w:color="E2E3E4"/>
            </w:tcBorders>
            <w:shd w:val="clear" w:color="auto" w:fill="E2E3E4"/>
          </w:tcPr>
          <w:p>
            <w:pPr>
              <w:spacing w:after="0"/>
              <w:rPr>
                <w:sz w:val="21"/>
                <w:szCs w:val="21"/>
                <w:color w:val="auto"/>
              </w:rPr>
            </w:pPr>
          </w:p>
        </w:tc>
        <w:tc>
          <w:tcPr>
            <w:tcW w:w="1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82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19,457</w:t>
            </w:r>
          </w:p>
        </w:tc>
        <w:tc>
          <w:tcPr>
            <w:tcW w:w="20" w:type="dxa"/>
            <w:vAlign w:val="bottom"/>
            <w:tcBorders>
              <w:bottom w:val="single" w:sz="8" w:color="E2E3E4"/>
            </w:tcBorders>
            <w:shd w:val="clear" w:color="auto" w:fill="E2E3E4"/>
          </w:tcPr>
          <w:p>
            <w:pPr>
              <w:spacing w:after="0"/>
              <w:rPr>
                <w:sz w:val="21"/>
                <w:szCs w:val="21"/>
                <w:color w:val="auto"/>
              </w:rPr>
            </w:pPr>
          </w:p>
        </w:tc>
        <w:tc>
          <w:tcPr>
            <w:tcW w:w="60" w:type="dxa"/>
            <w:vAlign w:val="bottom"/>
            <w:tcBorders>
              <w:bottom w:val="single" w:sz="8" w:color="E2E3E4"/>
            </w:tcBorders>
            <w:shd w:val="clear" w:color="auto" w:fill="E2E3E4"/>
          </w:tcPr>
          <w:p>
            <w:pPr>
              <w:spacing w:after="0"/>
              <w:rPr>
                <w:sz w:val="21"/>
                <w:szCs w:val="21"/>
                <w:color w:val="auto"/>
              </w:rPr>
            </w:pPr>
          </w:p>
        </w:tc>
      </w:tr>
      <w:tr>
        <w:trPr>
          <w:trHeight w:val="207"/>
        </w:trPr>
        <w:tc>
          <w:tcPr>
            <w:tcW w:w="5110" w:type="dxa"/>
            <w:vAlign w:val="bottom"/>
            <w:tcBorders>
              <w:bottom w:val="single" w:sz="8" w:color="E2E3E4"/>
            </w:tcBorders>
          </w:tcPr>
          <w:p>
            <w:pPr>
              <w:spacing w:after="0" w:line="207" w:lineRule="exact"/>
              <w:rPr>
                <w:sz w:val="20"/>
                <w:szCs w:val="20"/>
                <w:color w:val="auto"/>
              </w:rPr>
            </w:pPr>
            <w:r>
              <w:rPr>
                <w:rFonts w:ascii="Times New Roman" w:cs="Times New Roman" w:eastAsia="Times New Roman" w:hAnsi="Times New Roman"/>
                <w:sz w:val="19"/>
                <w:szCs w:val="19"/>
                <w:color w:val="231F20"/>
              </w:rPr>
              <w:t>Less: imputed interest</w:t>
            </w:r>
          </w:p>
        </w:tc>
        <w:tc>
          <w:tcPr>
            <w:tcW w:w="190" w:type="dxa"/>
            <w:vAlign w:val="bottom"/>
            <w:tcBorders>
              <w:bottom w:val="single" w:sz="8" w:color="E2E3E4"/>
            </w:tcBorders>
          </w:tcPr>
          <w:p>
            <w:pPr>
              <w:spacing w:after="0"/>
              <w:rPr>
                <w:sz w:val="17"/>
                <w:szCs w:val="17"/>
                <w:color w:val="auto"/>
              </w:rPr>
            </w:pPr>
          </w:p>
        </w:tc>
        <w:tc>
          <w:tcPr>
            <w:tcW w:w="20" w:type="dxa"/>
            <w:vAlign w:val="bottom"/>
            <w:tcBorders>
              <w:bottom w:val="single" w:sz="8" w:color="E2E3E4"/>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82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(1,691</w:t>
            </w:r>
          </w:p>
        </w:tc>
        <w:tc>
          <w:tcPr>
            <w:tcW w:w="80" w:type="dxa"/>
            <w:vAlign w:val="bottom"/>
            <w:tcBorders>
              <w:bottom w:val="single" w:sz="8" w:color="E2E3E4"/>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r>
      <w:tr>
        <w:trPr>
          <w:trHeight w:val="228"/>
        </w:trPr>
        <w:tc>
          <w:tcPr>
            <w:tcW w:w="511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Total operating lease liabilities</w:t>
            </w:r>
          </w:p>
        </w:tc>
        <w:tc>
          <w:tcPr>
            <w:tcW w:w="190" w:type="dxa"/>
            <w:vAlign w:val="bottom"/>
            <w:shd w:val="clear" w:color="auto" w:fill="E2E3E4"/>
          </w:tcPr>
          <w:p>
            <w:pPr>
              <w:spacing w:after="0"/>
              <w:rPr>
                <w:sz w:val="19"/>
                <w:szCs w:val="19"/>
                <w:color w:val="auto"/>
              </w:rPr>
            </w:pPr>
          </w:p>
        </w:tc>
        <w:tc>
          <w:tcPr>
            <w:tcW w:w="20" w:type="dxa"/>
            <w:vAlign w:val="bottom"/>
            <w:tcBorders>
              <w:bottom w:val="single" w:sz="8" w:color="231F20"/>
            </w:tcBorders>
            <w:shd w:val="clear" w:color="auto" w:fill="E2E3E4"/>
          </w:tcPr>
          <w:p>
            <w:pPr>
              <w:spacing w:after="0"/>
              <w:rPr>
                <w:sz w:val="19"/>
                <w:szCs w:val="19"/>
                <w:color w:val="auto"/>
              </w:rPr>
            </w:pPr>
          </w:p>
        </w:tc>
        <w:tc>
          <w:tcPr>
            <w:tcW w:w="10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820" w:type="dxa"/>
            <w:vAlign w:val="bottom"/>
            <w:tcBorders>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17,766</w:t>
            </w:r>
          </w:p>
        </w:tc>
        <w:tc>
          <w:tcPr>
            <w:tcW w:w="20" w:type="dxa"/>
            <w:vAlign w:val="bottom"/>
            <w:tcBorders>
              <w:bottom w:val="single" w:sz="8" w:color="231F20"/>
            </w:tcBorders>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r>
      <w:tr>
        <w:trPr>
          <w:trHeight w:val="20"/>
        </w:trPr>
        <w:tc>
          <w:tcPr>
            <w:tcW w:w="51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8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997585</wp:posOffset>
                </wp:positionH>
                <wp:positionV relativeFrom="paragraph">
                  <wp:posOffset>-942975</wp:posOffset>
                </wp:positionV>
                <wp:extent cx="465645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645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5pt,-74.2499pt" to="445.2pt,-74.2499pt" o:allowincell="f" strokecolor="#FFFFFF" strokeweight="0.698pt"/>
            </w:pict>
          </mc:Fallback>
        </mc:AlternateContent>
      </w:r>
    </w:p>
    <w:p>
      <w:pPr>
        <w:spacing w:after="0" w:line="360" w:lineRule="exact"/>
        <w:rPr>
          <w:sz w:val="20"/>
          <w:szCs w:val="20"/>
          <w:color w:val="auto"/>
        </w:rPr>
      </w:pPr>
    </w:p>
    <w:p>
      <w:pPr>
        <w:ind w:right="6560"/>
        <w:spacing w:after="0" w:line="374" w:lineRule="auto"/>
        <w:tabs>
          <w:tab w:leader="none" w:pos="196" w:val="left"/>
        </w:tabs>
        <w:numPr>
          <w:ilvl w:val="0"/>
          <w:numId w:val="60"/>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COMMITMENTS AND CONTINGENCIES Unasserted Claims</w:t>
      </w:r>
    </w:p>
    <w:p>
      <w:pPr>
        <w:spacing w:after="0" w:line="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In the ordinary course of business, the Company may be subject to legal proceedings, claims and litigation as the Company operates in an industry susceptible to patent and other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10. NET LOSS PER ORDINARY SHARE</w:t>
      </w:r>
    </w:p>
    <w:p>
      <w:pPr>
        <w:spacing w:after="0" w:line="12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231F20"/>
        </w:rPr>
        <w:t>In connection with the December 2025 Offering, the Company sold 2,631,578 2025 Pre-Funded Warrants, which are included in the total vested and exercisable pre -funded warrants (the Company's pre-funded warrants outstanding are collectively referred to as the “Pre-Funded Warrants”). As of December 31, 2025 and 2024, there were 11,600,257 and 8,968,679, respectively, vested and exercisable Pre- Funded Warrants outstanding to purchase ordinary shares for the exercise price of $0.0001 per share, provided that, unless and until the Company obtains shareholder approval for the issuance of the shares underlying the Pre-Funded Warrants, a holder will not be entitled to exercise any portion of any Pre-Funded Warrant, which, upon giving effect to such exercise, would cause</w:t>
      </w:r>
    </w:p>
    <w:p>
      <w:pPr>
        <w:spacing w:after="0" w:line="1" w:lineRule="exact"/>
        <w:rPr>
          <w:sz w:val="20"/>
          <w:szCs w:val="20"/>
          <w:color w:val="auto"/>
        </w:rPr>
      </w:pPr>
    </w:p>
    <w:p>
      <w:pPr>
        <w:spacing w:after="0" w:line="246" w:lineRule="auto"/>
        <w:tabs>
          <w:tab w:leader="none" w:pos="233" w:val="left"/>
        </w:tabs>
        <w:numPr>
          <w:ilvl w:val="0"/>
          <w:numId w:val="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aggregate number of our ordinary shares beneficially owned by the holder (together with its affiliates) to exceed, depending on the terms of the applicable Pre-Funded Warrants and in certain cases at the election of the holder, either 4.99%, 9.99% or 19.99% of the number of our ordinary shares outstanding immediately after giving effect to the exercise, or (ii) the combined voting power of our securities beneficially owned by the holder (together with its affiliates) to exceed, depending on the terms of the applicable Pre-Funded Warrants and in certain cases at the election of the holder, either 4.99%, 9.99% or 19.99% of the combined voting power of all of our securities then outstanding immediately after giving effect to the exercise, as such percentage ownership is determined in accordance with the terms of the applicable Pre-Funded Warrants. The Pre-Funded Warrants are included in the weighted-average shares outstanding used in the calculation of basic net loss per share as the exercise price is negligible and the warrants are fully vested and exercisable.</w:t>
      </w:r>
    </w:p>
    <w:p>
      <w:pPr>
        <w:spacing w:after="0" w:line="304" w:lineRule="exact"/>
        <w:rPr>
          <w:sz w:val="20"/>
          <w:szCs w:val="20"/>
          <w:color w:val="auto"/>
        </w:rPr>
      </w:pPr>
    </w:p>
    <w:p>
      <w:pPr>
        <w:ind w:right="700"/>
        <w:spacing w:after="0" w:line="289" w:lineRule="auto"/>
        <w:rPr>
          <w:sz w:val="20"/>
          <w:szCs w:val="20"/>
          <w:color w:val="auto"/>
        </w:rPr>
      </w:pPr>
      <w:r>
        <w:rPr>
          <w:rFonts w:ascii="Times New Roman" w:cs="Times New Roman" w:eastAsia="Times New Roman" w:hAnsi="Times New Roman"/>
          <w:sz w:val="19"/>
          <w:szCs w:val="19"/>
          <w:color w:val="231F20"/>
        </w:rPr>
        <w:t>Basic loss per share is computed by dividing net loss attributable to ordinary shareholders by the weighted-average number of ordinary shares outstanding.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F-22</w:t>
      </w:r>
    </w:p>
    <w:p>
      <w:pPr>
        <w:sectPr>
          <w:pgSz w:w="11880" w:h="15480" w:orient="portrait"/>
          <w:cols w:equalWidth="0" w:num="1">
            <w:col w:w="10480"/>
          </w:cols>
          <w:pgMar w:left="700" w:top="963" w:right="700" w:bottom="213" w:gutter="0" w:footer="0" w:header="0"/>
        </w:sectPr>
      </w:pPr>
    </w:p>
    <w:bookmarkStart w:id="126" w:name="page127"/>
    <w:bookmarkEnd w:id="126"/>
    <w:p>
      <w:pPr>
        <w:ind w:right="280"/>
        <w:spacing w:after="0" w:line="266" w:lineRule="auto"/>
        <w:rPr>
          <w:sz w:val="20"/>
          <w:szCs w:val="20"/>
          <w:color w:val="auto"/>
        </w:rPr>
      </w:pPr>
      <w:r>
        <w:rPr>
          <w:rFonts w:ascii="Times New Roman" w:cs="Times New Roman" w:eastAsia="Times New Roman" w:hAnsi="Times New Roman"/>
          <w:sz w:val="19"/>
          <w:szCs w:val="19"/>
          <w:color w:val="231F20"/>
        </w:rPr>
        <w:t>The Company’s potentially dilutive shares, which include outstanding share options to purchase ordinary shares and RSUs, are considered to be ordinary share equivalents and are only included in the calculation of diluted net loss per share when their effect is dilutive.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table below sets forth the computation of the Company’s basic and diluted net loss attributable to ordinary shareholders: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spacing w:after="0"/>
              <w:rPr>
                <w:sz w:val="17"/>
                <w:szCs w:val="17"/>
                <w:color w:val="auto"/>
              </w:rPr>
            </w:pPr>
          </w:p>
        </w:tc>
        <w:tc>
          <w:tcPr>
            <w:tcW w:w="1740" w:type="dxa"/>
            <w:vAlign w:val="bottom"/>
            <w:tcBorders>
              <w:bottom w:val="single" w:sz="8" w:color="231F20"/>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Year Ended December 31,</w:t>
            </w:r>
          </w:p>
        </w:tc>
        <w:tc>
          <w:tcPr>
            <w:tcW w:w="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vMerge w:val="restart"/>
          </w:tcPr>
          <w:p>
            <w:pPr>
              <w:jc w:val="right"/>
              <w:ind w:right="371"/>
              <w:spacing w:after="0" w:line="181" w:lineRule="exact"/>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center"/>
              <w:ind w:right="28"/>
              <w:spacing w:after="0" w:line="181" w:lineRule="exact"/>
              <w:rPr>
                <w:sz w:val="20"/>
                <w:szCs w:val="20"/>
                <w:color w:val="auto"/>
              </w:rPr>
            </w:pPr>
            <w:r>
              <w:rPr>
                <w:rFonts w:ascii="Times New Roman" w:cs="Times New Roman" w:eastAsia="Times New Roman" w:hAnsi="Times New Roman"/>
                <w:sz w:val="16"/>
                <w:szCs w:val="16"/>
                <w:b w:val="1"/>
                <w:bCs w:val="1"/>
                <w:color w:val="231F20"/>
                <w:w w:val="93"/>
              </w:rPr>
              <w:t>2024</w:t>
            </w:r>
          </w:p>
        </w:tc>
        <w:tc>
          <w:tcPr>
            <w:tcW w:w="90" w:type="dxa"/>
            <w:vAlign w:val="bottom"/>
            <w:vMerge w:val="restart"/>
          </w:tcPr>
          <w:p>
            <w:pPr>
              <w:spacing w:after="0" w:line="20" w:lineRule="exact"/>
              <w:rPr>
                <w:sz w:val="1"/>
                <w:szCs w:val="1"/>
                <w:color w:val="auto"/>
              </w:rPr>
            </w:pPr>
          </w:p>
        </w:tc>
        <w:tc>
          <w:tcPr>
            <w:tcW w:w="13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388"/>
              <w:spacing w:after="0" w:line="181"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231F20"/>
            </w:tcBorders>
          </w:tcPr>
          <w:p>
            <w:pPr>
              <w:spacing w:after="0"/>
              <w:rPr>
                <w:sz w:val="13"/>
                <w:szCs w:val="13"/>
                <w:color w:val="auto"/>
              </w:rPr>
            </w:pPr>
          </w:p>
        </w:tc>
        <w:tc>
          <w:tcPr>
            <w:tcW w:w="1140" w:type="dxa"/>
            <w:vAlign w:val="bottom"/>
            <w:tcBorders>
              <w:bottom w:val="single" w:sz="8" w:color="231F20"/>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1140" w:type="dxa"/>
            <w:vAlign w:val="bottom"/>
            <w:tcBorders>
              <w:bottom w:val="single" w:sz="8" w:color="231F20"/>
            </w:tcBorders>
            <w:vMerge w:val="continue"/>
          </w:tcPr>
          <w:p>
            <w:pPr>
              <w:spacing w:after="0"/>
              <w:rPr>
                <w:sz w:val="13"/>
                <w:szCs w:val="13"/>
                <w:color w:val="auto"/>
              </w:rPr>
            </w:pPr>
          </w:p>
        </w:tc>
        <w:tc>
          <w:tcPr>
            <w:tcW w:w="90" w:type="dxa"/>
            <w:vAlign w:val="bottom"/>
            <w:vMerge w:val="continue"/>
          </w:tcPr>
          <w:p>
            <w:pPr>
              <w:spacing w:after="0"/>
              <w:rPr>
                <w:sz w:val="13"/>
                <w:szCs w:val="13"/>
                <w:color w:val="auto"/>
              </w:rPr>
            </w:pPr>
          </w:p>
        </w:tc>
        <w:tc>
          <w:tcPr>
            <w:tcW w:w="13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1120" w:type="dxa"/>
            <w:vAlign w:val="bottom"/>
            <w:tcBorders>
              <w:bottom w:val="single" w:sz="8" w:color="231F20"/>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gridSpan w:val="13"/>
          </w:tcPr>
          <w:p>
            <w:pPr>
              <w:jc w:val="center"/>
              <w:ind w:right="200"/>
              <w:spacing w:after="0" w:line="173" w:lineRule="exact"/>
              <w:rPr>
                <w:sz w:val="20"/>
                <w:szCs w:val="20"/>
                <w:color w:val="auto"/>
              </w:rPr>
            </w:pPr>
            <w:r>
              <w:rPr>
                <w:rFonts w:ascii="Times New Roman" w:cs="Times New Roman" w:eastAsia="Times New Roman" w:hAnsi="Times New Roman"/>
                <w:sz w:val="16"/>
                <w:szCs w:val="16"/>
                <w:color w:val="231F20"/>
                <w:w w:val="97"/>
              </w:rPr>
              <w:t>(in thousands except share and per share data)</w:t>
            </w:r>
          </w:p>
        </w:tc>
        <w:tc>
          <w:tcPr>
            <w:tcW w:w="0" w:type="dxa"/>
            <w:vAlign w:val="bottom"/>
          </w:tcPr>
          <w:p>
            <w:pPr>
              <w:spacing w:after="0"/>
              <w:rPr>
                <w:sz w:val="1"/>
                <w:szCs w:val="1"/>
                <w:color w:val="auto"/>
              </w:rPr>
            </w:pPr>
          </w:p>
        </w:tc>
      </w:tr>
      <w:tr>
        <w:trPr>
          <w:trHeight w:val="235"/>
        </w:trPr>
        <w:tc>
          <w:tcPr>
            <w:tcW w:w="602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Numerator:</w:t>
            </w:r>
          </w:p>
        </w:tc>
        <w:tc>
          <w:tcPr>
            <w:tcW w:w="14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14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4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00" w:type="dxa"/>
            <w:vAlign w:val="bottom"/>
            <w:shd w:val="clear" w:color="auto" w:fill="E2E3E4"/>
          </w:tcPr>
          <w:p>
            <w:pPr>
              <w:spacing w:after="0"/>
              <w:rPr>
                <w:sz w:val="20"/>
                <w:szCs w:val="20"/>
                <w:color w:val="auto"/>
              </w:rPr>
            </w:pPr>
          </w:p>
        </w:tc>
        <w:tc>
          <w:tcPr>
            <w:tcW w:w="1140" w:type="dxa"/>
            <w:vAlign w:val="bottom"/>
            <w:shd w:val="clear" w:color="auto" w:fill="E2E3E4"/>
          </w:tcPr>
          <w:p>
            <w:pPr>
              <w:spacing w:after="0"/>
              <w:rPr>
                <w:sz w:val="20"/>
                <w:szCs w:val="20"/>
                <w:color w:val="auto"/>
              </w:rPr>
            </w:pPr>
          </w:p>
        </w:tc>
        <w:tc>
          <w:tcPr>
            <w:tcW w:w="90" w:type="dxa"/>
            <w:vAlign w:val="bottom"/>
            <w:shd w:val="clear" w:color="auto" w:fill="E2E3E4"/>
          </w:tcPr>
          <w:p>
            <w:pPr>
              <w:spacing w:after="0"/>
              <w:rPr>
                <w:sz w:val="20"/>
                <w:szCs w:val="20"/>
                <w:color w:val="auto"/>
              </w:rPr>
            </w:pPr>
          </w:p>
        </w:tc>
        <w:tc>
          <w:tcPr>
            <w:tcW w:w="13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18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231F20"/>
              </w:rPr>
              <w:t>Net loss attributable to ordinary shareholders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(204,378 )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3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(97,008 )</w:t>
            </w:r>
          </w:p>
        </w:tc>
        <w:tc>
          <w:tcPr>
            <w:tcW w:w="1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231F20"/>
              </w:rPr>
              <w:t>(57,513 )</w:t>
            </w:r>
          </w:p>
        </w:tc>
        <w:tc>
          <w:tcPr>
            <w:tcW w:w="0" w:type="dxa"/>
            <w:vAlign w:val="bottom"/>
          </w:tcPr>
          <w:p>
            <w:pPr>
              <w:spacing w:after="0"/>
              <w:rPr>
                <w:sz w:val="1"/>
                <w:szCs w:val="1"/>
                <w:color w:val="auto"/>
              </w:rPr>
            </w:pPr>
          </w:p>
        </w:tc>
      </w:tr>
      <w:tr>
        <w:trPr>
          <w:trHeight w:val="219"/>
        </w:trPr>
        <w:tc>
          <w:tcPr>
            <w:tcW w:w="602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rPr>
              <w:t>Denominator:</w:t>
            </w:r>
          </w:p>
        </w:tc>
        <w:tc>
          <w:tcPr>
            <w:tcW w:w="14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80" w:type="dxa"/>
            <w:vAlign w:val="bottom"/>
            <w:tcBorders>
              <w:top w:val="single" w:sz="8" w:color="231F20"/>
            </w:tcBorders>
            <w:shd w:val="clear" w:color="auto" w:fill="E2E3E4"/>
          </w:tcPr>
          <w:p>
            <w:pPr>
              <w:spacing w:after="0"/>
              <w:rPr>
                <w:sz w:val="19"/>
                <w:szCs w:val="19"/>
                <w:color w:val="auto"/>
              </w:rPr>
            </w:pPr>
          </w:p>
        </w:tc>
        <w:tc>
          <w:tcPr>
            <w:tcW w:w="1140" w:type="dxa"/>
            <w:vAlign w:val="bottom"/>
            <w:tcBorders>
              <w:top w:val="single" w:sz="8" w:color="231F20"/>
            </w:tcBorders>
            <w:shd w:val="clear" w:color="auto" w:fill="E2E3E4"/>
          </w:tcPr>
          <w:p>
            <w:pPr>
              <w:spacing w:after="0"/>
              <w:rPr>
                <w:sz w:val="19"/>
                <w:szCs w:val="19"/>
                <w:color w:val="auto"/>
              </w:rPr>
            </w:pPr>
          </w:p>
        </w:tc>
        <w:tc>
          <w:tcPr>
            <w:tcW w:w="100" w:type="dxa"/>
            <w:vAlign w:val="bottom"/>
            <w:tcBorders>
              <w:top w:val="single" w:sz="8" w:color="E2E3E4"/>
            </w:tcBorders>
            <w:shd w:val="clear" w:color="auto" w:fill="E2E3E4"/>
          </w:tcPr>
          <w:p>
            <w:pPr>
              <w:spacing w:after="0"/>
              <w:rPr>
                <w:sz w:val="19"/>
                <w:szCs w:val="19"/>
                <w:color w:val="auto"/>
              </w:rPr>
            </w:pPr>
          </w:p>
        </w:tc>
        <w:tc>
          <w:tcPr>
            <w:tcW w:w="14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100" w:type="dxa"/>
            <w:vAlign w:val="bottom"/>
            <w:tcBorders>
              <w:top w:val="single" w:sz="8" w:color="231F20"/>
            </w:tcBorders>
            <w:shd w:val="clear" w:color="auto" w:fill="E2E3E4"/>
          </w:tcPr>
          <w:p>
            <w:pPr>
              <w:spacing w:after="0"/>
              <w:rPr>
                <w:sz w:val="19"/>
                <w:szCs w:val="19"/>
                <w:color w:val="auto"/>
              </w:rPr>
            </w:pPr>
          </w:p>
        </w:tc>
        <w:tc>
          <w:tcPr>
            <w:tcW w:w="1140" w:type="dxa"/>
            <w:vAlign w:val="bottom"/>
            <w:tcBorders>
              <w:top w:val="single" w:sz="8" w:color="231F20"/>
            </w:tcBorders>
            <w:shd w:val="clear" w:color="auto" w:fill="E2E3E4"/>
          </w:tcPr>
          <w:p>
            <w:pPr>
              <w:spacing w:after="0"/>
              <w:rPr>
                <w:sz w:val="19"/>
                <w:szCs w:val="19"/>
                <w:color w:val="auto"/>
              </w:rPr>
            </w:pPr>
          </w:p>
        </w:tc>
        <w:tc>
          <w:tcPr>
            <w:tcW w:w="90" w:type="dxa"/>
            <w:vAlign w:val="bottom"/>
            <w:tcBorders>
              <w:top w:val="single" w:sz="8" w:color="E2E3E4"/>
            </w:tcBorders>
            <w:shd w:val="clear" w:color="auto" w:fill="E2E3E4"/>
          </w:tcPr>
          <w:p>
            <w:pPr>
              <w:spacing w:after="0"/>
              <w:rPr>
                <w:sz w:val="19"/>
                <w:szCs w:val="19"/>
                <w:color w:val="auto"/>
              </w:rPr>
            </w:pPr>
          </w:p>
        </w:tc>
        <w:tc>
          <w:tcPr>
            <w:tcW w:w="13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120" w:type="dxa"/>
            <w:vAlign w:val="bottom"/>
            <w:tcBorders>
              <w:top w:val="single" w:sz="8" w:color="231F20"/>
            </w:tcBorders>
            <w:shd w:val="clear" w:color="auto" w:fill="E2E3E4"/>
          </w:tcPr>
          <w:p>
            <w:pPr>
              <w:spacing w:after="0"/>
              <w:rPr>
                <w:sz w:val="19"/>
                <w:szCs w:val="19"/>
                <w:color w:val="auto"/>
              </w:rPr>
            </w:pPr>
          </w:p>
        </w:tc>
        <w:tc>
          <w:tcPr>
            <w:tcW w:w="1120" w:type="dxa"/>
            <w:vAlign w:val="bottom"/>
            <w:tcBorders>
              <w:top w:val="single" w:sz="8" w:color="231F20"/>
            </w:tcBorders>
            <w:shd w:val="clear" w:color="auto" w:fill="E2E3E4"/>
          </w:tcPr>
          <w:p>
            <w:pPr>
              <w:spacing w:after="0"/>
              <w:rPr>
                <w:sz w:val="19"/>
                <w:szCs w:val="19"/>
                <w:color w:val="auto"/>
              </w:rPr>
            </w:pPr>
          </w:p>
        </w:tc>
        <w:tc>
          <w:tcPr>
            <w:tcW w:w="20" w:type="dxa"/>
            <w:vAlign w:val="bottom"/>
            <w:tcBorders>
              <w:top w:val="single" w:sz="8" w:color="E2E3E4"/>
            </w:tcBorders>
            <w:shd w:val="clear" w:color="auto" w:fill="E2E3E4"/>
          </w:tcPr>
          <w:p>
            <w:pPr>
              <w:spacing w:after="0"/>
              <w:rPr>
                <w:sz w:val="19"/>
                <w:szCs w:val="19"/>
                <w:color w:val="auto"/>
              </w:rPr>
            </w:pPr>
          </w:p>
        </w:tc>
        <w:tc>
          <w:tcPr>
            <w:tcW w:w="80" w:type="dxa"/>
            <w:vAlign w:val="bottom"/>
            <w:tcBorders>
              <w:top w:val="single" w:sz="8" w:color="E2E3E4"/>
            </w:tcBorders>
            <w:shd w:val="clear" w:color="auto" w:fill="E2E3E4"/>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6180" w:type="dxa"/>
            <w:vAlign w:val="bottom"/>
            <w:tcBorders>
              <w:bottom w:val="single" w:sz="8" w:color="E2E3E4"/>
            </w:tcBorders>
            <w:gridSpan w:val="3"/>
          </w:tcPr>
          <w:p>
            <w:pPr>
              <w:ind w:left="200"/>
              <w:spacing w:after="0"/>
              <w:rPr>
                <w:sz w:val="20"/>
                <w:szCs w:val="20"/>
                <w:color w:val="auto"/>
              </w:rPr>
            </w:pPr>
            <w:r>
              <w:rPr>
                <w:rFonts w:ascii="Times New Roman" w:cs="Times New Roman" w:eastAsia="Times New Roman" w:hAnsi="Times New Roman"/>
                <w:sz w:val="19"/>
                <w:szCs w:val="19"/>
                <w:color w:val="231F20"/>
              </w:rPr>
              <w:t>Weighted-average ordinary shares outstanding</w:t>
            </w:r>
          </w:p>
        </w:tc>
        <w:tc>
          <w:tcPr>
            <w:tcW w:w="8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168,649,795</w:t>
            </w:r>
          </w:p>
        </w:tc>
        <w:tc>
          <w:tcPr>
            <w:tcW w:w="100" w:type="dxa"/>
            <w:vAlign w:val="bottom"/>
            <w:tcBorders>
              <w:bottom w:val="single" w:sz="8" w:color="E2E3E4"/>
            </w:tcBorders>
          </w:tcPr>
          <w:p>
            <w:pPr>
              <w:spacing w:after="0"/>
              <w:rPr>
                <w:sz w:val="24"/>
                <w:szCs w:val="24"/>
                <w:color w:val="auto"/>
              </w:rPr>
            </w:pPr>
          </w:p>
        </w:tc>
        <w:tc>
          <w:tcPr>
            <w:tcW w:w="140" w:type="dxa"/>
            <w:vAlign w:val="bottom"/>
            <w:tcBorders>
              <w:bottom w:val="single" w:sz="8" w:color="E2E3E4"/>
            </w:tcBorders>
          </w:tcPr>
          <w:p>
            <w:pPr>
              <w:spacing w:after="0"/>
              <w:rPr>
                <w:sz w:val="24"/>
                <w:szCs w:val="24"/>
                <w:color w:val="auto"/>
              </w:rPr>
            </w:pPr>
          </w:p>
        </w:tc>
        <w:tc>
          <w:tcPr>
            <w:tcW w:w="20" w:type="dxa"/>
            <w:vAlign w:val="bottom"/>
            <w:tcBorders>
              <w:bottom w:val="single" w:sz="8" w:color="E2E3E4"/>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138,277,468</w:t>
            </w:r>
          </w:p>
        </w:tc>
        <w:tc>
          <w:tcPr>
            <w:tcW w:w="90" w:type="dxa"/>
            <w:vAlign w:val="bottom"/>
            <w:tcBorders>
              <w:bottom w:val="single" w:sz="8" w:color="E2E3E4"/>
            </w:tcBorders>
          </w:tcPr>
          <w:p>
            <w:pPr>
              <w:spacing w:after="0"/>
              <w:rPr>
                <w:sz w:val="24"/>
                <w:szCs w:val="24"/>
                <w:color w:val="auto"/>
              </w:rPr>
            </w:pPr>
          </w:p>
        </w:tc>
        <w:tc>
          <w:tcPr>
            <w:tcW w:w="130" w:type="dxa"/>
            <w:vAlign w:val="bottom"/>
            <w:tcBorders>
              <w:bottom w:val="single" w:sz="8" w:color="E2E3E4"/>
            </w:tcBorders>
          </w:tcPr>
          <w:p>
            <w:pPr>
              <w:spacing w:after="0"/>
              <w:rPr>
                <w:sz w:val="24"/>
                <w:szCs w:val="24"/>
                <w:color w:val="auto"/>
              </w:rPr>
            </w:pPr>
          </w:p>
        </w:tc>
        <w:tc>
          <w:tcPr>
            <w:tcW w:w="20" w:type="dxa"/>
            <w:vAlign w:val="bottom"/>
            <w:tcBorders>
              <w:bottom w:val="single" w:sz="8" w:color="E2E3E4"/>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106,097,268</w:t>
            </w:r>
          </w:p>
        </w:tc>
        <w:tc>
          <w:tcPr>
            <w:tcW w:w="20" w:type="dxa"/>
            <w:vAlign w:val="bottom"/>
            <w:tcBorders>
              <w:bottom w:val="single" w:sz="8" w:color="E2E3E4"/>
            </w:tcBorders>
          </w:tcPr>
          <w:p>
            <w:pPr>
              <w:spacing w:after="0"/>
              <w:rPr>
                <w:sz w:val="24"/>
                <w:szCs w:val="24"/>
                <w:color w:val="auto"/>
              </w:rPr>
            </w:pPr>
          </w:p>
        </w:tc>
        <w:tc>
          <w:tcPr>
            <w:tcW w:w="80" w:type="dxa"/>
            <w:vAlign w:val="bottom"/>
            <w:tcBorders>
              <w:bottom w:val="single" w:sz="8" w:color="E2E3E4"/>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20" w:type="dxa"/>
            <w:vAlign w:val="bottom"/>
            <w:tcBorders>
              <w:top w:val="single" w:sz="8" w:color="E2E3E4"/>
            </w:tcBorders>
            <w:shd w:val="clear" w:color="auto" w:fill="E2E3E4"/>
          </w:tcPr>
          <w:p>
            <w:pPr>
              <w:spacing w:after="0" w:line="202" w:lineRule="exact"/>
              <w:rPr>
                <w:sz w:val="20"/>
                <w:szCs w:val="20"/>
                <w:color w:val="auto"/>
              </w:rPr>
            </w:pPr>
            <w:r>
              <w:rPr>
                <w:rFonts w:ascii="Times New Roman" w:cs="Times New Roman" w:eastAsia="Times New Roman" w:hAnsi="Times New Roman"/>
                <w:sz w:val="19"/>
                <w:szCs w:val="19"/>
                <w:color w:val="231F20"/>
              </w:rPr>
              <w:t>Net loss per share, basic and diluted</w:t>
            </w:r>
          </w:p>
        </w:tc>
        <w:tc>
          <w:tcPr>
            <w:tcW w:w="14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80" w:type="dxa"/>
            <w:vAlign w:val="bottom"/>
            <w:tcBorders>
              <w:top w:val="single" w:sz="8" w:color="E2E3E4"/>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140" w:type="dxa"/>
            <w:vAlign w:val="bottom"/>
            <w:tcBorders>
              <w:top w:val="single" w:sz="8" w:color="E2E3E4"/>
              <w:bottom w:val="single" w:sz="8" w:color="231F20"/>
            </w:tcBorders>
            <w:shd w:val="clear" w:color="auto" w:fill="E2E3E4"/>
          </w:tcPr>
          <w:p>
            <w:pPr>
              <w:jc w:val="right"/>
              <w:spacing w:after="0" w:line="202" w:lineRule="exact"/>
              <w:rPr>
                <w:sz w:val="20"/>
                <w:szCs w:val="20"/>
                <w:color w:val="auto"/>
              </w:rPr>
            </w:pPr>
            <w:r>
              <w:rPr>
                <w:rFonts w:ascii="Times New Roman" w:cs="Times New Roman" w:eastAsia="Times New Roman" w:hAnsi="Times New Roman"/>
                <w:sz w:val="19"/>
                <w:szCs w:val="19"/>
                <w:color w:val="231F20"/>
              </w:rPr>
              <w:t>(1.21</w:t>
            </w:r>
          </w:p>
        </w:tc>
        <w:tc>
          <w:tcPr>
            <w:tcW w:w="100" w:type="dxa"/>
            <w:vAlign w:val="bottom"/>
            <w:tcBorders>
              <w:top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4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100" w:type="dxa"/>
            <w:vAlign w:val="bottom"/>
            <w:tcBorders>
              <w:top w:val="single" w:sz="8" w:color="E2E3E4"/>
              <w:bottom w:val="single" w:sz="8" w:color="231F20"/>
            </w:tcBorders>
            <w:shd w:val="clear" w:color="auto" w:fill="E2E3E4"/>
          </w:tcPr>
          <w:p>
            <w:pPr>
              <w:jc w:val="right"/>
              <w:spacing w:after="0" w:line="202"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140" w:type="dxa"/>
            <w:vAlign w:val="bottom"/>
            <w:tcBorders>
              <w:top w:val="single" w:sz="8" w:color="E2E3E4"/>
              <w:bottom w:val="single" w:sz="8" w:color="231F20"/>
            </w:tcBorders>
            <w:shd w:val="clear" w:color="auto" w:fill="E2E3E4"/>
          </w:tcPr>
          <w:p>
            <w:pPr>
              <w:jc w:val="right"/>
              <w:spacing w:after="0" w:line="202" w:lineRule="exact"/>
              <w:rPr>
                <w:sz w:val="20"/>
                <w:szCs w:val="20"/>
                <w:color w:val="auto"/>
              </w:rPr>
            </w:pPr>
            <w:r>
              <w:rPr>
                <w:rFonts w:ascii="Times New Roman" w:cs="Times New Roman" w:eastAsia="Times New Roman" w:hAnsi="Times New Roman"/>
                <w:sz w:val="19"/>
                <w:szCs w:val="19"/>
                <w:color w:val="231F20"/>
              </w:rPr>
              <w:t>(0.70</w:t>
            </w:r>
          </w:p>
        </w:tc>
        <w:tc>
          <w:tcPr>
            <w:tcW w:w="90" w:type="dxa"/>
            <w:vAlign w:val="bottom"/>
            <w:tcBorders>
              <w:top w:val="single" w:sz="8" w:color="E2E3E4"/>
            </w:tcBorders>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13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120" w:type="dxa"/>
            <w:vAlign w:val="bottom"/>
            <w:tcBorders>
              <w:top w:val="single" w:sz="8" w:color="E2E3E4"/>
              <w:bottom w:val="single" w:sz="8" w:color="231F20"/>
            </w:tcBorders>
            <w:shd w:val="clear" w:color="auto" w:fill="E2E3E4"/>
          </w:tcPr>
          <w:p>
            <w:pPr>
              <w:jc w:val="right"/>
              <w:spacing w:after="0" w:line="202"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120" w:type="dxa"/>
            <w:vAlign w:val="bottom"/>
            <w:tcBorders>
              <w:top w:val="single" w:sz="8" w:color="E2E3E4"/>
              <w:bottom w:val="single" w:sz="8" w:color="231F20"/>
            </w:tcBorders>
            <w:shd w:val="clear" w:color="auto" w:fill="E2E3E4"/>
          </w:tcPr>
          <w:p>
            <w:pPr>
              <w:jc w:val="right"/>
              <w:spacing w:after="0" w:line="202" w:lineRule="exact"/>
              <w:rPr>
                <w:sz w:val="20"/>
                <w:szCs w:val="20"/>
                <w:color w:val="auto"/>
              </w:rPr>
            </w:pPr>
            <w:r>
              <w:rPr>
                <w:rFonts w:ascii="Times New Roman" w:cs="Times New Roman" w:eastAsia="Times New Roman" w:hAnsi="Times New Roman"/>
                <w:sz w:val="19"/>
                <w:szCs w:val="19"/>
                <w:color w:val="231F20"/>
              </w:rPr>
              <w:t>(0.54</w:t>
            </w:r>
          </w:p>
        </w:tc>
        <w:tc>
          <w:tcPr>
            <w:tcW w:w="100" w:type="dxa"/>
            <w:vAlign w:val="bottom"/>
            <w:tcBorders>
              <w:top w:val="single" w:sz="8" w:color="E2E3E4"/>
            </w:tcBorders>
            <w:gridSpan w:val="2"/>
            <w:shd w:val="clear" w:color="auto" w:fill="E2E3E4"/>
          </w:tcPr>
          <w:p>
            <w:pPr>
              <w:jc w:val="right"/>
              <w:ind w:right="40"/>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-351790</wp:posOffset>
                </wp:positionV>
                <wp:extent cx="66516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65">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6999pt" to="523.75pt,-27.6999pt" o:allowincell="f" strokecolor="#FFFFFF" strokeweight="0.698pt"/>
            </w:pict>
          </mc:Fallback>
        </mc:AlternateContent>
      </w:r>
    </w:p>
    <w:p>
      <w:pPr>
        <w:spacing w:after="0" w:line="7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9"/>
          <w:szCs w:val="19"/>
          <w:color w:val="231F20"/>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90" w:type="dxa"/>
            <w:vAlign w:val="bottom"/>
            <w:tcBorders>
              <w:bottom w:val="single" w:sz="8" w:color="231F20"/>
            </w:tcBorders>
          </w:tcPr>
          <w:p>
            <w:pPr>
              <w:spacing w:after="0"/>
              <w:rPr>
                <w:sz w:val="17"/>
                <w:szCs w:val="17"/>
                <w:color w:val="auto"/>
              </w:rPr>
            </w:pPr>
          </w:p>
        </w:tc>
        <w:tc>
          <w:tcPr>
            <w:tcW w:w="850" w:type="dxa"/>
            <w:vAlign w:val="bottom"/>
            <w:tcBorders>
              <w:bottom w:val="single" w:sz="8" w:color="231F20"/>
            </w:tcBorders>
          </w:tcPr>
          <w:p>
            <w:pPr>
              <w:spacing w:after="0"/>
              <w:rPr>
                <w:sz w:val="17"/>
                <w:szCs w:val="17"/>
                <w:color w:val="auto"/>
              </w:rPr>
            </w:pPr>
          </w:p>
        </w:tc>
        <w:tc>
          <w:tcPr>
            <w:tcW w:w="2020" w:type="dxa"/>
            <w:vAlign w:val="bottom"/>
            <w:tcBorders>
              <w:bottom w:val="single" w:sz="8" w:color="231F20"/>
            </w:tcBorders>
            <w:gridSpan w:val="11"/>
          </w:tcPr>
          <w:p>
            <w:pPr>
              <w:jc w:val="right"/>
              <w:ind w:right="443"/>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9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1040" w:type="dxa"/>
            <w:vAlign w:val="bottom"/>
            <w:tcBorders>
              <w:bottom w:val="single" w:sz="8" w:color="E2E3E4"/>
            </w:tcBorders>
          </w:tcPr>
          <w:p>
            <w:pPr>
              <w:spacing w:after="0"/>
              <w:rPr>
                <w:sz w:val="15"/>
                <w:szCs w:val="15"/>
                <w:color w:val="auto"/>
              </w:rPr>
            </w:pPr>
          </w:p>
        </w:tc>
        <w:tc>
          <w:tcPr>
            <w:tcW w:w="3700" w:type="dxa"/>
            <w:vAlign w:val="bottom"/>
            <w:tcBorders>
              <w:bottom w:val="single" w:sz="8" w:color="E2E3E4"/>
            </w:tcBorders>
          </w:tcPr>
          <w:p>
            <w:pPr>
              <w:spacing w:after="0"/>
              <w:rPr>
                <w:sz w:val="15"/>
                <w:szCs w:val="15"/>
                <w:color w:val="auto"/>
              </w:rPr>
            </w:pPr>
          </w:p>
        </w:tc>
        <w:tc>
          <w:tcPr>
            <w:tcW w:w="14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80" w:type="dxa"/>
            <w:vAlign w:val="bottom"/>
            <w:tcBorders>
              <w:bottom w:val="single" w:sz="8" w:color="E2E3E4"/>
            </w:tcBorders>
          </w:tcPr>
          <w:p>
            <w:pPr>
              <w:spacing w:after="0"/>
              <w:rPr>
                <w:sz w:val="15"/>
                <w:szCs w:val="15"/>
                <w:color w:val="auto"/>
              </w:rPr>
            </w:pPr>
          </w:p>
        </w:tc>
        <w:tc>
          <w:tcPr>
            <w:tcW w:w="1140" w:type="dxa"/>
            <w:vAlign w:val="bottom"/>
            <w:tcBorders>
              <w:bottom w:val="single" w:sz="8" w:color="E2E3E4"/>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90" w:type="dxa"/>
            <w:vAlign w:val="bottom"/>
            <w:tcBorders>
              <w:bottom w:val="single" w:sz="8" w:color="231F20"/>
            </w:tcBorders>
          </w:tcPr>
          <w:p>
            <w:pPr>
              <w:spacing w:after="0"/>
              <w:rPr>
                <w:sz w:val="15"/>
                <w:szCs w:val="15"/>
                <w:color w:val="auto"/>
              </w:rPr>
            </w:pPr>
          </w:p>
        </w:tc>
        <w:tc>
          <w:tcPr>
            <w:tcW w:w="850" w:type="dxa"/>
            <w:vAlign w:val="bottom"/>
            <w:tcBorders>
              <w:bottom w:val="single" w:sz="8" w:color="231F20"/>
            </w:tcBorders>
          </w:tcPr>
          <w:p>
            <w:pPr>
              <w:jc w:val="right"/>
              <w:ind w:right="411"/>
              <w:spacing w:after="0" w:line="183" w:lineRule="exact"/>
              <w:rPr>
                <w:sz w:val="20"/>
                <w:szCs w:val="20"/>
                <w:color w:val="auto"/>
              </w:rPr>
            </w:pPr>
            <w:r>
              <w:rPr>
                <w:rFonts w:ascii="Times New Roman" w:cs="Times New Roman" w:eastAsia="Times New Roman" w:hAnsi="Times New Roman"/>
                <w:sz w:val="16"/>
                <w:szCs w:val="16"/>
                <w:b w:val="1"/>
                <w:bCs w:val="1"/>
                <w:color w:val="231F20"/>
                <w:w w:val="99"/>
              </w:rPr>
              <w:t>2025</w:t>
            </w:r>
          </w:p>
        </w:tc>
        <w:tc>
          <w:tcPr>
            <w:tcW w:w="200" w:type="dxa"/>
            <w:vAlign w:val="bottom"/>
            <w:tcBorders>
              <w:bottom w:val="single" w:sz="8" w:color="E2E3E4"/>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gridSpan w:val="4"/>
          </w:tcPr>
          <w:p>
            <w:pPr>
              <w:jc w:val="right"/>
              <w:ind w:right="387"/>
              <w:spacing w:after="0" w:line="183"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Borders>
              <w:bottom w:val="single" w:sz="8" w:color="E2E3E4"/>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10"/>
              <w:spacing w:after="0" w:line="183"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2E3E4"/>
            </w:tcBorders>
          </w:tcPr>
          <w:p>
            <w:pPr>
              <w:spacing w:after="0"/>
              <w:rPr>
                <w:sz w:val="15"/>
                <w:szCs w:val="15"/>
                <w:color w:val="auto"/>
              </w:rPr>
            </w:pPr>
          </w:p>
        </w:tc>
      </w:tr>
      <w:tr>
        <w:trPr>
          <w:trHeight w:val="224"/>
        </w:trPr>
        <w:tc>
          <w:tcPr>
            <w:tcW w:w="4900" w:type="dxa"/>
            <w:vAlign w:val="bottom"/>
            <w:gridSpan w:val="4"/>
            <w:shd w:val="clear" w:color="auto" w:fill="E2E3E4"/>
          </w:tcPr>
          <w:p>
            <w:pPr>
              <w:spacing w:after="0"/>
              <w:rPr>
                <w:sz w:val="20"/>
                <w:szCs w:val="20"/>
                <w:color w:val="auto"/>
              </w:rPr>
            </w:pPr>
            <w:r>
              <w:rPr>
                <w:rFonts w:ascii="Times New Roman" w:cs="Times New Roman" w:eastAsia="Times New Roman" w:hAnsi="Times New Roman"/>
                <w:sz w:val="19"/>
                <w:szCs w:val="19"/>
                <w:color w:val="231F20"/>
              </w:rPr>
              <w:t>Options to purchase ordinary shares</w:t>
            </w:r>
          </w:p>
        </w:tc>
        <w:tc>
          <w:tcPr>
            <w:tcW w:w="80" w:type="dxa"/>
            <w:vAlign w:val="bottom"/>
            <w:shd w:val="clear" w:color="auto" w:fill="E2E3E4"/>
          </w:tcPr>
          <w:p>
            <w:pPr>
              <w:spacing w:after="0"/>
              <w:rPr>
                <w:sz w:val="19"/>
                <w:szCs w:val="19"/>
                <w:color w:val="auto"/>
              </w:rPr>
            </w:pPr>
          </w:p>
        </w:tc>
        <w:tc>
          <w:tcPr>
            <w:tcW w:w="114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100" w:type="dxa"/>
            <w:vAlign w:val="bottom"/>
            <w:gridSpan w:val="4"/>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20,326,871</w:t>
            </w:r>
          </w:p>
        </w:tc>
        <w:tc>
          <w:tcPr>
            <w:tcW w:w="20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120" w:type="dxa"/>
            <w:vAlign w:val="bottom"/>
            <w:shd w:val="clear" w:color="auto" w:fill="E2E3E4"/>
          </w:tcPr>
          <w:p>
            <w:pPr>
              <w:spacing w:after="0"/>
              <w:rPr>
                <w:sz w:val="19"/>
                <w:szCs w:val="19"/>
                <w:color w:val="auto"/>
              </w:rPr>
            </w:pPr>
          </w:p>
        </w:tc>
        <w:tc>
          <w:tcPr>
            <w:tcW w:w="900" w:type="dxa"/>
            <w:vAlign w:val="bottom"/>
            <w:gridSpan w:val="4"/>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19,453,131</w:t>
            </w:r>
          </w:p>
        </w:tc>
        <w:tc>
          <w:tcPr>
            <w:tcW w:w="200" w:type="dxa"/>
            <w:vAlign w:val="bottom"/>
            <w:shd w:val="clear" w:color="auto" w:fill="E2E3E4"/>
          </w:tcPr>
          <w:p>
            <w:pPr>
              <w:spacing w:after="0"/>
              <w:rPr>
                <w:sz w:val="19"/>
                <w:szCs w:val="19"/>
                <w:color w:val="auto"/>
              </w:rPr>
            </w:pPr>
          </w:p>
        </w:tc>
        <w:tc>
          <w:tcPr>
            <w:tcW w:w="260" w:type="dxa"/>
            <w:vAlign w:val="bottom"/>
            <w:shd w:val="clear" w:color="auto" w:fill="E2E3E4"/>
          </w:tcPr>
          <w:p>
            <w:pPr>
              <w:spacing w:after="0"/>
              <w:rPr>
                <w:sz w:val="19"/>
                <w:szCs w:val="19"/>
                <w:color w:val="auto"/>
              </w:rPr>
            </w:pPr>
          </w:p>
        </w:tc>
        <w:tc>
          <w:tcPr>
            <w:tcW w:w="80" w:type="dxa"/>
            <w:vAlign w:val="bottom"/>
            <w:shd w:val="clear" w:color="auto" w:fill="E2E3E4"/>
          </w:tcPr>
          <w:p>
            <w:pPr>
              <w:spacing w:after="0"/>
              <w:rPr>
                <w:sz w:val="19"/>
                <w:szCs w:val="19"/>
                <w:color w:val="auto"/>
              </w:rPr>
            </w:pPr>
          </w:p>
        </w:tc>
        <w:tc>
          <w:tcPr>
            <w:tcW w:w="9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14,107,710</w:t>
            </w:r>
          </w:p>
        </w:tc>
        <w:tc>
          <w:tcPr>
            <w:tcW w:w="100" w:type="dxa"/>
            <w:vAlign w:val="bottom"/>
            <w:shd w:val="clear" w:color="auto" w:fill="E2E3E4"/>
          </w:tcPr>
          <w:p>
            <w:pPr>
              <w:spacing w:after="0"/>
              <w:rPr>
                <w:sz w:val="19"/>
                <w:szCs w:val="19"/>
                <w:color w:val="auto"/>
              </w:rPr>
            </w:pPr>
          </w:p>
        </w:tc>
      </w:tr>
      <w:tr>
        <w:trPr>
          <w:trHeight w:val="237"/>
        </w:trPr>
        <w:tc>
          <w:tcPr>
            <w:tcW w:w="4900" w:type="dxa"/>
            <w:vAlign w:val="bottom"/>
            <w:gridSpan w:val="4"/>
          </w:tcPr>
          <w:p>
            <w:pPr>
              <w:spacing w:after="0"/>
              <w:rPr>
                <w:sz w:val="20"/>
                <w:szCs w:val="20"/>
                <w:color w:val="auto"/>
              </w:rPr>
            </w:pPr>
            <w:r>
              <w:rPr>
                <w:rFonts w:ascii="Times New Roman" w:cs="Times New Roman" w:eastAsia="Times New Roman" w:hAnsi="Times New Roman"/>
                <w:sz w:val="19"/>
                <w:szCs w:val="19"/>
                <w:color w:val="231F20"/>
              </w:rPr>
              <w:t>RSUs</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85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1,777,416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832,043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637,557</w:t>
            </w:r>
          </w:p>
        </w:tc>
        <w:tc>
          <w:tcPr>
            <w:tcW w:w="100" w:type="dxa"/>
            <w:vAlign w:val="bottom"/>
          </w:tcPr>
          <w:p>
            <w:pPr>
              <w:spacing w:after="0"/>
              <w:rPr>
                <w:sz w:val="20"/>
                <w:szCs w:val="20"/>
                <w:color w:val="auto"/>
              </w:rPr>
            </w:pPr>
          </w:p>
        </w:tc>
      </w:tr>
      <w:tr>
        <w:trPr>
          <w:trHeight w:val="467"/>
        </w:trPr>
        <w:tc>
          <w:tcPr>
            <w:tcW w:w="49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231F20"/>
              </w:rPr>
              <w:t>11. INCOME TAXES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4900" w:type="dxa"/>
            <w:vAlign w:val="bottom"/>
            <w:gridSpan w:val="4"/>
          </w:tcPr>
          <w:p>
            <w:pPr>
              <w:spacing w:after="0"/>
              <w:rPr>
                <w:sz w:val="20"/>
                <w:szCs w:val="20"/>
                <w:color w:val="auto"/>
              </w:rPr>
            </w:pPr>
            <w:r>
              <w:rPr>
                <w:rFonts w:ascii="Times New Roman" w:cs="Times New Roman" w:eastAsia="Times New Roman" w:hAnsi="Times New Roman"/>
                <w:sz w:val="19"/>
                <w:szCs w:val="19"/>
                <w:color w:val="231F20"/>
              </w:rPr>
              <w:t>The components of loss before income taxes were as follows: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10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1760" w:type="dxa"/>
            <w:vAlign w:val="bottom"/>
            <w:tcBorders>
              <w:bottom w:val="single" w:sz="8" w:color="231F20"/>
            </w:tcBorders>
            <w:gridSpan w:val="9"/>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Year Ended December 31,</w:t>
            </w: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328"/>
              <w:spacing w:after="0" w:line="183" w:lineRule="exact"/>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Borders>
              <w:bottom w:val="single" w:sz="8" w:color="231F20"/>
            </w:tcBorders>
          </w:tcPr>
          <w:p>
            <w:pPr>
              <w:spacing w:after="0"/>
              <w:rPr>
                <w:sz w:val="15"/>
                <w:szCs w:val="15"/>
                <w:color w:val="auto"/>
              </w:rPr>
            </w:pPr>
          </w:p>
        </w:tc>
        <w:tc>
          <w:tcPr>
            <w:tcW w:w="850" w:type="dxa"/>
            <w:vAlign w:val="bottom"/>
            <w:tcBorders>
              <w:bottom w:val="single" w:sz="8" w:color="231F20"/>
            </w:tcBorders>
          </w:tcPr>
          <w:p>
            <w:pPr>
              <w:jc w:val="center"/>
              <w:ind w:left="181"/>
              <w:spacing w:after="0" w:line="183" w:lineRule="exact"/>
              <w:rPr>
                <w:sz w:val="20"/>
                <w:szCs w:val="20"/>
                <w:color w:val="auto"/>
              </w:rPr>
            </w:pPr>
            <w:r>
              <w:rPr>
                <w:rFonts w:ascii="Times New Roman" w:cs="Times New Roman" w:eastAsia="Times New Roman" w:hAnsi="Times New Roman"/>
                <w:sz w:val="16"/>
                <w:szCs w:val="16"/>
                <w:b w:val="1"/>
                <w:bCs w:val="1"/>
                <w:color w:val="231F20"/>
                <w:w w:val="93"/>
              </w:rPr>
              <w:t>2024</w:t>
            </w:r>
          </w:p>
        </w:tc>
        <w:tc>
          <w:tcPr>
            <w:tcW w:w="20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1040" w:type="dxa"/>
            <w:vAlign w:val="bottom"/>
          </w:tcPr>
          <w:p>
            <w:pPr>
              <w:spacing w:after="0"/>
              <w:rPr>
                <w:sz w:val="14"/>
                <w:szCs w:val="14"/>
                <w:color w:val="auto"/>
              </w:rPr>
            </w:pPr>
          </w:p>
        </w:tc>
        <w:tc>
          <w:tcPr>
            <w:tcW w:w="3700" w:type="dxa"/>
            <w:vAlign w:val="bottom"/>
            <w:tcBorders>
              <w:bottom w:val="single" w:sz="8" w:color="E2E3E4"/>
            </w:tcBorders>
          </w:tcPr>
          <w:p>
            <w:pPr>
              <w:spacing w:after="0"/>
              <w:rPr>
                <w:sz w:val="14"/>
                <w:szCs w:val="14"/>
                <w:color w:val="auto"/>
              </w:rPr>
            </w:pPr>
          </w:p>
        </w:tc>
        <w:tc>
          <w:tcPr>
            <w:tcW w:w="14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114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14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90" w:type="dxa"/>
            <w:vAlign w:val="bottom"/>
            <w:tcBorders>
              <w:bottom w:val="single" w:sz="8" w:color="E2E3E4"/>
            </w:tcBorders>
          </w:tcPr>
          <w:p>
            <w:pPr>
              <w:spacing w:after="0"/>
              <w:rPr>
                <w:sz w:val="14"/>
                <w:szCs w:val="14"/>
                <w:color w:val="auto"/>
              </w:rPr>
            </w:pPr>
          </w:p>
        </w:tc>
        <w:tc>
          <w:tcPr>
            <w:tcW w:w="1230" w:type="dxa"/>
            <w:vAlign w:val="bottom"/>
            <w:tcBorders>
              <w:bottom w:val="single" w:sz="8" w:color="E2E3E4"/>
            </w:tcBorders>
            <w:gridSpan w:val="3"/>
          </w:tcPr>
          <w:p>
            <w:pPr>
              <w:jc w:val="center"/>
              <w:ind w:right="110"/>
              <w:spacing w:after="0" w:line="171" w:lineRule="exact"/>
              <w:rPr>
                <w:sz w:val="20"/>
                <w:szCs w:val="20"/>
                <w:color w:val="auto"/>
              </w:rPr>
            </w:pPr>
            <w:r>
              <w:rPr>
                <w:rFonts w:ascii="Times New Roman" w:cs="Times New Roman" w:eastAsia="Times New Roman" w:hAnsi="Times New Roman"/>
                <w:sz w:val="16"/>
                <w:szCs w:val="16"/>
                <w:color w:val="231F20"/>
                <w:w w:val="98"/>
              </w:rPr>
              <w:t>(in thousands)</w:t>
            </w:r>
          </w:p>
        </w:tc>
        <w:tc>
          <w:tcPr>
            <w:tcW w:w="80" w:type="dxa"/>
            <w:vAlign w:val="bottom"/>
            <w:tcBorders>
              <w:bottom w:val="single" w:sz="8" w:color="E2E3E4"/>
            </w:tcBorders>
          </w:tcPr>
          <w:p>
            <w:pPr>
              <w:spacing w:after="0"/>
              <w:rPr>
                <w:sz w:val="14"/>
                <w:szCs w:val="14"/>
                <w:color w:val="auto"/>
              </w:rPr>
            </w:pPr>
          </w:p>
        </w:tc>
        <w:tc>
          <w:tcPr>
            <w:tcW w:w="12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760" w:type="dxa"/>
            <w:vAlign w:val="bottom"/>
            <w:tcBorders>
              <w:bottom w:val="single" w:sz="8" w:color="E2E3E4"/>
            </w:tcBorders>
          </w:tcPr>
          <w:p>
            <w:pPr>
              <w:spacing w:after="0"/>
              <w:rPr>
                <w:sz w:val="14"/>
                <w:szCs w:val="14"/>
                <w:color w:val="auto"/>
              </w:rPr>
            </w:pPr>
          </w:p>
        </w:tc>
        <w:tc>
          <w:tcPr>
            <w:tcW w:w="200" w:type="dxa"/>
            <w:vAlign w:val="bottom"/>
            <w:tcBorders>
              <w:bottom w:val="single" w:sz="8" w:color="E2E3E4"/>
            </w:tcBorders>
          </w:tcPr>
          <w:p>
            <w:pPr>
              <w:spacing w:after="0"/>
              <w:rPr>
                <w:sz w:val="14"/>
                <w:szCs w:val="14"/>
                <w:color w:val="auto"/>
              </w:rPr>
            </w:pPr>
          </w:p>
        </w:tc>
        <w:tc>
          <w:tcPr>
            <w:tcW w:w="26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1040" w:type="dxa"/>
            <w:vAlign w:val="bottom"/>
          </w:tcPr>
          <w:p>
            <w:pPr>
              <w:spacing w:after="0"/>
              <w:rPr>
                <w:sz w:val="18"/>
                <w:szCs w:val="18"/>
                <w:color w:val="auto"/>
              </w:rPr>
            </w:pPr>
          </w:p>
        </w:tc>
        <w:tc>
          <w:tcPr>
            <w:tcW w:w="370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Singapore</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240" w:type="dxa"/>
            <w:vAlign w:val="bottom"/>
            <w:gridSpan w:val="2"/>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(6,042</w:t>
            </w:r>
          </w:p>
        </w:tc>
        <w:tc>
          <w:tcPr>
            <w:tcW w:w="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1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230" w:type="dxa"/>
            <w:vAlign w:val="bottom"/>
            <w:gridSpan w:val="3"/>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(4,202</w:t>
            </w:r>
          </w:p>
        </w:tc>
        <w:tc>
          <w:tcPr>
            <w:tcW w:w="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220" w:type="dxa"/>
            <w:vAlign w:val="bottom"/>
            <w:gridSpan w:val="3"/>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(7,441</w:t>
            </w:r>
          </w:p>
        </w:tc>
        <w:tc>
          <w:tcPr>
            <w:tcW w:w="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040" w:type="dxa"/>
            <w:vAlign w:val="bottom"/>
          </w:tcPr>
          <w:p>
            <w:pPr>
              <w:spacing w:after="0"/>
              <w:rPr>
                <w:sz w:val="22"/>
                <w:szCs w:val="2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9"/>
                <w:szCs w:val="19"/>
                <w:color w:val="231F20"/>
              </w:rPr>
              <w:t>Rest of world</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(198,336 )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131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(92,806 )</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(50,749 )</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6"/>
        </w:trPr>
        <w:tc>
          <w:tcPr>
            <w:tcW w:w="1040" w:type="dxa"/>
            <w:vAlign w:val="bottom"/>
          </w:tcPr>
          <w:p>
            <w:pPr>
              <w:spacing w:after="0"/>
              <w:rPr>
                <w:sz w:val="17"/>
                <w:szCs w:val="17"/>
                <w:color w:val="auto"/>
              </w:rPr>
            </w:pPr>
          </w:p>
        </w:tc>
        <w:tc>
          <w:tcPr>
            <w:tcW w:w="3700" w:type="dxa"/>
            <w:vAlign w:val="bottom"/>
            <w:tcBorders>
              <w:top w:val="single" w:sz="8" w:color="E2E3E4"/>
            </w:tcBorders>
            <w:shd w:val="clear" w:color="auto" w:fill="E2E3E4"/>
          </w:tcPr>
          <w:p>
            <w:pPr>
              <w:ind w:left="200"/>
              <w:spacing w:after="0" w:line="205" w:lineRule="exact"/>
              <w:rPr>
                <w:sz w:val="20"/>
                <w:szCs w:val="20"/>
                <w:color w:val="auto"/>
              </w:rPr>
            </w:pPr>
            <w:r>
              <w:rPr>
                <w:rFonts w:ascii="Times New Roman" w:cs="Times New Roman" w:eastAsia="Times New Roman" w:hAnsi="Times New Roman"/>
                <w:sz w:val="19"/>
                <w:szCs w:val="19"/>
                <w:color w:val="231F20"/>
              </w:rPr>
              <w:t>Loss before income taxes</w:t>
            </w:r>
          </w:p>
        </w:tc>
        <w:tc>
          <w:tcPr>
            <w:tcW w:w="14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8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240" w:type="dxa"/>
            <w:vAlign w:val="bottom"/>
            <w:tcBorders>
              <w:top w:val="single" w:sz="8" w:color="231F20"/>
              <w:bottom w:val="single" w:sz="8" w:color="231F20"/>
            </w:tcBorders>
            <w:gridSpan w:val="2"/>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rPr>
              <w:t>(204,378</w:t>
            </w:r>
          </w:p>
        </w:tc>
        <w:tc>
          <w:tcPr>
            <w:tcW w:w="80" w:type="dxa"/>
            <w:vAlign w:val="bottom"/>
            <w:tcBorders>
              <w:top w:val="single" w:sz="8" w:color="E2E3E4"/>
            </w:tcBorders>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14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9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230" w:type="dxa"/>
            <w:vAlign w:val="bottom"/>
            <w:tcBorders>
              <w:top w:val="single" w:sz="8" w:color="231F20"/>
              <w:bottom w:val="single" w:sz="8" w:color="231F20"/>
            </w:tcBorders>
            <w:gridSpan w:val="3"/>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rPr>
              <w:t>(97,008</w:t>
            </w:r>
          </w:p>
        </w:tc>
        <w:tc>
          <w:tcPr>
            <w:tcW w:w="80" w:type="dxa"/>
            <w:vAlign w:val="bottom"/>
            <w:tcBorders>
              <w:top w:val="single" w:sz="8" w:color="E2E3E4"/>
            </w:tcBorders>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12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10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220" w:type="dxa"/>
            <w:vAlign w:val="bottom"/>
            <w:tcBorders>
              <w:top w:val="single" w:sz="8" w:color="231F20"/>
              <w:bottom w:val="single" w:sz="8" w:color="231F20"/>
            </w:tcBorders>
            <w:gridSpan w:val="3"/>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rPr>
              <w:t>(58,190</w:t>
            </w:r>
          </w:p>
        </w:tc>
        <w:tc>
          <w:tcPr>
            <w:tcW w:w="80" w:type="dxa"/>
            <w:vAlign w:val="bottom"/>
            <w:tcBorders>
              <w:top w:val="single" w:sz="8" w:color="E2E3E4"/>
            </w:tcBorders>
            <w:shd w:val="clear" w:color="auto" w:fill="E2E3E4"/>
          </w:tcPr>
          <w:p>
            <w:pPr>
              <w:jc w:val="right"/>
              <w:spacing w:after="0" w:line="205"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0" w:type="dxa"/>
            <w:vAlign w:val="bottom"/>
            <w:tcBorders>
              <w:bottom w:val="single" w:sz="8" w:color="231F20"/>
            </w:tcBorders>
          </w:tcPr>
          <w:p>
            <w:pPr>
              <w:spacing w:after="0" w:line="20" w:lineRule="exact"/>
              <w:rPr>
                <w:sz w:val="1"/>
                <w:szCs w:val="1"/>
                <w:color w:val="auto"/>
              </w:rPr>
            </w:pPr>
          </w:p>
        </w:tc>
        <w:tc>
          <w:tcPr>
            <w:tcW w:w="85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-1642110</wp:posOffset>
                </wp:positionV>
                <wp:extent cx="665162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2999pt" to="523.75pt,-129.2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3954145</wp:posOffset>
                </wp:positionH>
                <wp:positionV relativeFrom="paragraph">
                  <wp:posOffset>-601345</wp:posOffset>
                </wp:positionV>
                <wp:extent cx="14287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87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35pt,-47.3499pt" to="322.6pt,-47.3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5935980</wp:posOffset>
                </wp:positionH>
                <wp:positionV relativeFrom="paragraph">
                  <wp:posOffset>-601345</wp:posOffset>
                </wp:positionV>
                <wp:extent cx="5080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4pt,-47.3499pt" to="471.4pt,-47.3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664845</wp:posOffset>
                </wp:positionH>
                <wp:positionV relativeFrom="paragraph">
                  <wp:posOffset>-329565</wp:posOffset>
                </wp:positionV>
                <wp:extent cx="532193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193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25.9499pt" to="471.4pt,-25.9499pt" o:allowincell="f" strokecolor="#FFFFFF" strokeweight="0.698pt"/>
            </w:pict>
          </mc:Fallback>
        </mc:AlternateConten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During the years ended December 31, 2025 and 2024, the Company recorded no income tax benefit or provision. During the year ended December 31, 2023, the Company recorded an income tax benefit of $0.7 million. The income tax benefit for the year ended December 31, 2023 was due to a change in estimate in connection with U.S. tax guidance relating to the capitalization of research and development expenditures.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components of the benefit for income taxes were as follows:</w:t>
      </w:r>
    </w:p>
    <w:p>
      <w:pPr>
        <w:spacing w:after="0" w:line="242"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Borders>
              <w:bottom w:val="single" w:sz="8" w:color="231F20"/>
            </w:tcBorders>
          </w:tcPr>
          <w:p>
            <w:pPr>
              <w:spacing w:after="0"/>
              <w:rPr>
                <w:sz w:val="17"/>
                <w:szCs w:val="17"/>
                <w:color w:val="auto"/>
              </w:rPr>
            </w:pPr>
          </w:p>
        </w:tc>
        <w:tc>
          <w:tcPr>
            <w:tcW w:w="630" w:type="dxa"/>
            <w:vAlign w:val="bottom"/>
            <w:tcBorders>
              <w:bottom w:val="single" w:sz="8" w:color="231F20"/>
            </w:tcBorders>
          </w:tcPr>
          <w:p>
            <w:pPr>
              <w:spacing w:after="0"/>
              <w:rPr>
                <w:sz w:val="17"/>
                <w:szCs w:val="17"/>
                <w:color w:val="auto"/>
              </w:rPr>
            </w:pPr>
          </w:p>
        </w:tc>
        <w:tc>
          <w:tcPr>
            <w:tcW w:w="1900" w:type="dxa"/>
            <w:vAlign w:val="bottom"/>
            <w:tcBorders>
              <w:bottom w:val="single" w:sz="8" w:color="231F20"/>
            </w:tcBorders>
            <w:gridSpan w:val="9"/>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76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231F20"/>
            </w:tcBorders>
            <w:gridSpan w:val="2"/>
          </w:tcPr>
          <w:p>
            <w:pPr>
              <w:jc w:val="right"/>
              <w:ind w:right="80"/>
              <w:spacing w:after="0" w:line="183" w:lineRule="exact"/>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Borders>
              <w:bottom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ind w:left="240"/>
              <w:spacing w:after="0" w:line="183" w:lineRule="exact"/>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Borders>
              <w:bottom w:val="single" w:sz="8" w:color="231F20"/>
            </w:tcBorders>
          </w:tcPr>
          <w:p>
            <w:pPr>
              <w:spacing w:after="0"/>
              <w:rPr>
                <w:sz w:val="15"/>
                <w:szCs w:val="15"/>
                <w:color w:val="auto"/>
              </w:rPr>
            </w:pPr>
          </w:p>
        </w:tc>
        <w:tc>
          <w:tcPr>
            <w:tcW w:w="15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266"/>
              <w:spacing w:after="0" w:line="183" w:lineRule="exact"/>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5"/>
                <w:szCs w:val="15"/>
                <w:color w:val="auto"/>
              </w:rPr>
            </w:pPr>
          </w:p>
        </w:tc>
      </w:tr>
      <w:tr>
        <w:trPr>
          <w:trHeight w:val="171"/>
        </w:trPr>
        <w:tc>
          <w:tcPr>
            <w:tcW w:w="482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90" w:type="dxa"/>
            <w:vAlign w:val="bottom"/>
            <w:tcBorders>
              <w:bottom w:val="single" w:sz="8" w:color="E2E3E4"/>
            </w:tcBorders>
          </w:tcPr>
          <w:p>
            <w:pPr>
              <w:spacing w:after="0"/>
              <w:rPr>
                <w:sz w:val="14"/>
                <w:szCs w:val="14"/>
                <w:color w:val="auto"/>
              </w:rPr>
            </w:pPr>
          </w:p>
        </w:tc>
        <w:tc>
          <w:tcPr>
            <w:tcW w:w="630" w:type="dxa"/>
            <w:vAlign w:val="bottom"/>
            <w:tcBorders>
              <w:bottom w:val="single" w:sz="8" w:color="E2E3E4"/>
            </w:tcBorders>
          </w:tcPr>
          <w:p>
            <w:pPr>
              <w:spacing w:after="0"/>
              <w:rPr>
                <w:sz w:val="14"/>
                <w:szCs w:val="14"/>
                <w:color w:val="auto"/>
              </w:rPr>
            </w:pPr>
          </w:p>
        </w:tc>
        <w:tc>
          <w:tcPr>
            <w:tcW w:w="280" w:type="dxa"/>
            <w:vAlign w:val="bottom"/>
            <w:tcBorders>
              <w:bottom w:val="single" w:sz="8" w:color="E2E3E4"/>
            </w:tcBorders>
          </w:tcPr>
          <w:p>
            <w:pPr>
              <w:spacing w:after="0"/>
              <w:rPr>
                <w:sz w:val="14"/>
                <w:szCs w:val="14"/>
                <w:color w:val="auto"/>
              </w:rPr>
            </w:pPr>
          </w:p>
        </w:tc>
        <w:tc>
          <w:tcPr>
            <w:tcW w:w="16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0" w:type="dxa"/>
            <w:vAlign w:val="bottom"/>
            <w:tcBorders>
              <w:bottom w:val="single" w:sz="8" w:color="E2E3E4"/>
            </w:tcBorders>
            <w:gridSpan w:val="2"/>
          </w:tcPr>
          <w:p>
            <w:pPr>
              <w:ind w:left="60"/>
              <w:spacing w:after="0" w:line="171" w:lineRule="exact"/>
              <w:rPr>
                <w:sz w:val="20"/>
                <w:szCs w:val="20"/>
                <w:color w:val="auto"/>
              </w:rPr>
            </w:pPr>
            <w:r>
              <w:rPr>
                <w:rFonts w:ascii="Times New Roman" w:cs="Times New Roman" w:eastAsia="Times New Roman" w:hAnsi="Times New Roman"/>
                <w:sz w:val="16"/>
                <w:szCs w:val="16"/>
                <w:color w:val="231F20"/>
              </w:rPr>
              <w:t>(in thousands)</w:t>
            </w:r>
          </w:p>
        </w:tc>
        <w:tc>
          <w:tcPr>
            <w:tcW w:w="18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90" w:type="dxa"/>
            <w:vAlign w:val="bottom"/>
            <w:tcBorders>
              <w:bottom w:val="single" w:sz="8" w:color="E2E3E4"/>
            </w:tcBorders>
          </w:tcPr>
          <w:p>
            <w:pPr>
              <w:spacing w:after="0"/>
              <w:rPr>
                <w:sz w:val="14"/>
                <w:szCs w:val="14"/>
                <w:color w:val="auto"/>
              </w:rPr>
            </w:pPr>
          </w:p>
        </w:tc>
        <w:tc>
          <w:tcPr>
            <w:tcW w:w="150" w:type="dxa"/>
            <w:vAlign w:val="bottom"/>
            <w:tcBorders>
              <w:bottom w:val="single" w:sz="8" w:color="E2E3E4"/>
            </w:tcBorders>
          </w:tcPr>
          <w:p>
            <w:pPr>
              <w:spacing w:after="0"/>
              <w:rPr>
                <w:sz w:val="14"/>
                <w:szCs w:val="14"/>
                <w:color w:val="auto"/>
              </w:rPr>
            </w:pPr>
          </w:p>
        </w:tc>
        <w:tc>
          <w:tcPr>
            <w:tcW w:w="760" w:type="dxa"/>
            <w:vAlign w:val="bottom"/>
            <w:tcBorders>
              <w:bottom w:val="single" w:sz="8" w:color="E2E3E4"/>
            </w:tcBorders>
          </w:tcPr>
          <w:p>
            <w:pPr>
              <w:spacing w:after="0"/>
              <w:rPr>
                <w:sz w:val="14"/>
                <w:szCs w:val="14"/>
                <w:color w:val="auto"/>
              </w:rPr>
            </w:pPr>
          </w:p>
        </w:tc>
        <w:tc>
          <w:tcPr>
            <w:tcW w:w="60" w:type="dxa"/>
            <w:vAlign w:val="bottom"/>
            <w:tcBorders>
              <w:bottom w:val="single" w:sz="8" w:color="E2E3E4"/>
            </w:tcBorders>
          </w:tcPr>
          <w:p>
            <w:pPr>
              <w:spacing w:after="0"/>
              <w:rPr>
                <w:sz w:val="14"/>
                <w:szCs w:val="14"/>
                <w:color w:val="auto"/>
              </w:rPr>
            </w:pPr>
          </w:p>
        </w:tc>
      </w:tr>
      <w:tr>
        <w:trPr>
          <w:trHeight w:val="217"/>
        </w:trPr>
        <w:tc>
          <w:tcPr>
            <w:tcW w:w="482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Current benefit for income taxes:</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shd w:val="clear" w:color="auto" w:fill="E2E3E4"/>
          </w:tcPr>
          <w:p>
            <w:pPr>
              <w:spacing w:after="0"/>
              <w:rPr>
                <w:sz w:val="18"/>
                <w:szCs w:val="18"/>
                <w:color w:val="auto"/>
              </w:rPr>
            </w:pPr>
          </w:p>
        </w:tc>
        <w:tc>
          <w:tcPr>
            <w:tcW w:w="630" w:type="dxa"/>
            <w:vAlign w:val="bottom"/>
            <w:shd w:val="clear" w:color="auto" w:fill="E2E3E4"/>
          </w:tcPr>
          <w:p>
            <w:pPr>
              <w:spacing w:after="0"/>
              <w:rPr>
                <w:sz w:val="18"/>
                <w:szCs w:val="18"/>
                <w:color w:val="auto"/>
              </w:rPr>
            </w:pPr>
          </w:p>
        </w:tc>
        <w:tc>
          <w:tcPr>
            <w:tcW w:w="280" w:type="dxa"/>
            <w:vAlign w:val="bottom"/>
            <w:shd w:val="clear" w:color="auto" w:fill="E2E3E4"/>
          </w:tcPr>
          <w:p>
            <w:pPr>
              <w:spacing w:after="0"/>
              <w:rPr>
                <w:sz w:val="18"/>
                <w:szCs w:val="18"/>
                <w:color w:val="auto"/>
              </w:rPr>
            </w:pPr>
          </w:p>
        </w:tc>
        <w:tc>
          <w:tcPr>
            <w:tcW w:w="16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00" w:type="dxa"/>
            <w:vAlign w:val="bottom"/>
            <w:shd w:val="clear" w:color="auto" w:fill="E2E3E4"/>
          </w:tcPr>
          <w:p>
            <w:pPr>
              <w:spacing w:after="0"/>
              <w:rPr>
                <w:sz w:val="18"/>
                <w:szCs w:val="18"/>
                <w:color w:val="auto"/>
              </w:rPr>
            </w:pPr>
          </w:p>
        </w:tc>
        <w:tc>
          <w:tcPr>
            <w:tcW w:w="1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shd w:val="clear" w:color="auto" w:fill="E2E3E4"/>
          </w:tcPr>
          <w:p>
            <w:pPr>
              <w:spacing w:after="0"/>
              <w:rPr>
                <w:sz w:val="18"/>
                <w:szCs w:val="18"/>
                <w:color w:val="auto"/>
              </w:rPr>
            </w:pPr>
          </w:p>
        </w:tc>
        <w:tc>
          <w:tcPr>
            <w:tcW w:w="150" w:type="dxa"/>
            <w:vAlign w:val="bottom"/>
            <w:shd w:val="clear" w:color="auto" w:fill="E2E3E4"/>
          </w:tcPr>
          <w:p>
            <w:pPr>
              <w:spacing w:after="0"/>
              <w:rPr>
                <w:sz w:val="18"/>
                <w:szCs w:val="18"/>
                <w:color w:val="auto"/>
              </w:rPr>
            </w:pPr>
          </w:p>
        </w:tc>
        <w:tc>
          <w:tcPr>
            <w:tcW w:w="760" w:type="dxa"/>
            <w:vAlign w:val="bottom"/>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r>
      <w:tr>
        <w:trPr>
          <w:trHeight w:val="237"/>
        </w:trPr>
        <w:tc>
          <w:tcPr>
            <w:tcW w:w="4820" w:type="dxa"/>
            <w:vAlign w:val="bottom"/>
            <w:tcBorders>
              <w:bottom w:val="single" w:sz="8" w:color="E2E3E4"/>
            </w:tcBorders>
          </w:tcPr>
          <w:p>
            <w:pPr>
              <w:ind w:left="200"/>
              <w:spacing w:after="0"/>
              <w:rPr>
                <w:sz w:val="20"/>
                <w:szCs w:val="20"/>
                <w:color w:val="auto"/>
              </w:rPr>
            </w:pPr>
            <w:r>
              <w:rPr>
                <w:rFonts w:ascii="Times New Roman" w:cs="Times New Roman" w:eastAsia="Times New Roman" w:hAnsi="Times New Roman"/>
                <w:sz w:val="19"/>
                <w:szCs w:val="19"/>
                <w:color w:val="231F20"/>
              </w:rPr>
              <w:t>Singapore</w:t>
            </w: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9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30" w:type="dxa"/>
            <w:vAlign w:val="bottom"/>
            <w:tcBorders>
              <w:bottom w:val="single" w:sz="8" w:color="E2E3E4"/>
            </w:tcBorders>
          </w:tcPr>
          <w:p>
            <w:pPr>
              <w:spacing w:after="0"/>
              <w:rPr>
                <w:sz w:val="20"/>
                <w:szCs w:val="20"/>
                <w:color w:val="auto"/>
              </w:rPr>
            </w:pPr>
          </w:p>
        </w:tc>
        <w:tc>
          <w:tcPr>
            <w:tcW w:w="280" w:type="dxa"/>
            <w:vAlign w:val="bottom"/>
            <w:tcBorders>
              <w:bottom w:val="single" w:sz="8" w:color="E2E3E4"/>
            </w:tcBorders>
          </w:tcPr>
          <w:p>
            <w:pPr>
              <w:ind w:left="60"/>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E2E3E4"/>
            </w:tcBorders>
          </w:tcPr>
          <w:p>
            <w:pPr>
              <w:ind w:left="700"/>
              <w:spacing w:after="0"/>
              <w:rPr>
                <w:sz w:val="20"/>
                <w:szCs w:val="20"/>
                <w:color w:val="auto"/>
              </w:rPr>
            </w:pPr>
            <w:r>
              <w:rPr>
                <w:rFonts w:ascii="Times New Roman" w:cs="Times New Roman" w:eastAsia="Times New Roman" w:hAnsi="Times New Roman"/>
                <w:sz w:val="19"/>
                <w:szCs w:val="19"/>
                <w:color w:val="231F20"/>
                <w:w w:val="94"/>
              </w:rPr>
              <w:t>—</w:t>
            </w:r>
          </w:p>
        </w:tc>
        <w:tc>
          <w:tcPr>
            <w:tcW w:w="29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50" w:type="dxa"/>
            <w:vAlign w:val="bottom"/>
            <w:tcBorders>
              <w:bottom w:val="single" w:sz="8" w:color="E2E3E4"/>
            </w:tcBorders>
          </w:tcPr>
          <w:p>
            <w:pPr>
              <w:spacing w:after="0"/>
              <w:rPr>
                <w:sz w:val="20"/>
                <w:szCs w:val="20"/>
                <w:color w:val="auto"/>
              </w:rPr>
            </w:pPr>
          </w:p>
        </w:tc>
        <w:tc>
          <w:tcPr>
            <w:tcW w:w="7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E2E3E4"/>
            </w:tcBorders>
          </w:tcPr>
          <w:p>
            <w:pPr>
              <w:spacing w:after="0"/>
              <w:rPr>
                <w:sz w:val="20"/>
                <w:szCs w:val="20"/>
                <w:color w:val="auto"/>
              </w:rPr>
            </w:pPr>
          </w:p>
        </w:tc>
      </w:tr>
      <w:tr>
        <w:trPr>
          <w:trHeight w:val="215"/>
        </w:trPr>
        <w:tc>
          <w:tcPr>
            <w:tcW w:w="4820" w:type="dxa"/>
            <w:vAlign w:val="bottom"/>
            <w:shd w:val="clear" w:color="auto" w:fill="E2E3E4"/>
          </w:tcPr>
          <w:p>
            <w:pPr>
              <w:ind w:left="200"/>
              <w:spacing w:after="0" w:line="215" w:lineRule="exact"/>
              <w:rPr>
                <w:sz w:val="20"/>
                <w:szCs w:val="20"/>
                <w:color w:val="auto"/>
              </w:rPr>
            </w:pPr>
            <w:r>
              <w:rPr>
                <w:rFonts w:ascii="Times New Roman" w:cs="Times New Roman" w:eastAsia="Times New Roman" w:hAnsi="Times New Roman"/>
                <w:sz w:val="19"/>
                <w:szCs w:val="19"/>
                <w:color w:val="231F20"/>
              </w:rPr>
              <w:t>Rest of world</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tcBorders>
              <w:bottom w:val="single" w:sz="8" w:color="231F20"/>
            </w:tcBorders>
            <w:shd w:val="clear" w:color="auto" w:fill="E2E3E4"/>
          </w:tcPr>
          <w:p>
            <w:pPr>
              <w:spacing w:after="0"/>
              <w:rPr>
                <w:sz w:val="18"/>
                <w:szCs w:val="18"/>
                <w:color w:val="auto"/>
              </w:rPr>
            </w:pPr>
          </w:p>
        </w:tc>
        <w:tc>
          <w:tcPr>
            <w:tcW w:w="630" w:type="dxa"/>
            <w:vAlign w:val="bottom"/>
            <w:tcBorders>
              <w:bottom w:val="single" w:sz="8" w:color="231F20"/>
            </w:tcBorders>
            <w:shd w:val="clear" w:color="auto" w:fill="E2E3E4"/>
          </w:tcPr>
          <w:p>
            <w:pPr>
              <w:spacing w:after="0"/>
              <w:rPr>
                <w:sz w:val="18"/>
                <w:szCs w:val="18"/>
                <w:color w:val="auto"/>
              </w:rPr>
            </w:pPr>
          </w:p>
        </w:tc>
        <w:tc>
          <w:tcPr>
            <w:tcW w:w="280" w:type="dxa"/>
            <w:vAlign w:val="bottom"/>
            <w:tcBorders>
              <w:bottom w:val="single" w:sz="8" w:color="231F20"/>
            </w:tcBorders>
            <w:shd w:val="clear" w:color="auto" w:fill="E2E3E4"/>
          </w:tcPr>
          <w:p>
            <w:pPr>
              <w:ind w:left="60"/>
              <w:spacing w:after="0" w:line="215"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tcBorders>
              <w:bottom w:val="single" w:sz="8" w:color="231F20"/>
            </w:tcBorders>
            <w:shd w:val="clear" w:color="auto" w:fill="E2E3E4"/>
          </w:tcPr>
          <w:p>
            <w:pPr>
              <w:spacing w:after="0"/>
              <w:rPr>
                <w:sz w:val="18"/>
                <w:szCs w:val="18"/>
                <w:color w:val="auto"/>
              </w:rPr>
            </w:pPr>
          </w:p>
        </w:tc>
        <w:tc>
          <w:tcPr>
            <w:tcW w:w="900" w:type="dxa"/>
            <w:vAlign w:val="bottom"/>
            <w:tcBorders>
              <w:bottom w:val="single" w:sz="8" w:color="231F20"/>
            </w:tcBorders>
            <w:shd w:val="clear" w:color="auto" w:fill="E2E3E4"/>
          </w:tcPr>
          <w:p>
            <w:pPr>
              <w:ind w:left="700"/>
              <w:spacing w:after="0" w:line="215" w:lineRule="exact"/>
              <w:rPr>
                <w:sz w:val="20"/>
                <w:szCs w:val="20"/>
                <w:color w:val="auto"/>
              </w:rPr>
            </w:pPr>
            <w:r>
              <w:rPr>
                <w:rFonts w:ascii="Times New Roman" w:cs="Times New Roman" w:eastAsia="Times New Roman" w:hAnsi="Times New Roman"/>
                <w:sz w:val="19"/>
                <w:szCs w:val="19"/>
                <w:color w:val="231F20"/>
                <w:w w:val="94"/>
              </w:rPr>
              <w:t>—</w:t>
            </w:r>
          </w:p>
        </w:tc>
        <w:tc>
          <w:tcPr>
            <w:tcW w:w="1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tcBorders>
              <w:bottom w:val="single" w:sz="8" w:color="231F20"/>
            </w:tcBorders>
            <w:shd w:val="clear" w:color="auto" w:fill="E2E3E4"/>
          </w:tcPr>
          <w:p>
            <w:pPr>
              <w:spacing w:after="0"/>
              <w:rPr>
                <w:sz w:val="18"/>
                <w:szCs w:val="18"/>
                <w:color w:val="auto"/>
              </w:rPr>
            </w:pPr>
          </w:p>
        </w:tc>
        <w:tc>
          <w:tcPr>
            <w:tcW w:w="150" w:type="dxa"/>
            <w:vAlign w:val="bottom"/>
            <w:tcBorders>
              <w:bottom w:val="single" w:sz="8" w:color="231F20"/>
            </w:tcBorders>
            <w:shd w:val="clear" w:color="auto" w:fill="E2E3E4"/>
          </w:tcPr>
          <w:p>
            <w:pPr>
              <w:spacing w:after="0"/>
              <w:rPr>
                <w:sz w:val="18"/>
                <w:szCs w:val="18"/>
                <w:color w:val="auto"/>
              </w:rPr>
            </w:pPr>
          </w:p>
        </w:tc>
        <w:tc>
          <w:tcPr>
            <w:tcW w:w="760" w:type="dxa"/>
            <w:vAlign w:val="bottom"/>
            <w:tcBorders>
              <w:bottom w:val="single" w:sz="8" w:color="231F20"/>
            </w:tcBorders>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677</w:t>
            </w:r>
          </w:p>
        </w:tc>
        <w:tc>
          <w:tcPr>
            <w:tcW w:w="60" w:type="dxa"/>
            <w:vAlign w:val="bottom"/>
            <w:shd w:val="clear" w:color="auto" w:fill="E2E3E4"/>
          </w:tcPr>
          <w:p>
            <w:pPr>
              <w:spacing w:after="0"/>
              <w:rPr>
                <w:sz w:val="18"/>
                <w:szCs w:val="18"/>
                <w:color w:val="auto"/>
              </w:rPr>
            </w:pPr>
          </w:p>
        </w:tc>
      </w:tr>
      <w:tr>
        <w:trPr>
          <w:trHeight w:val="230"/>
        </w:trPr>
        <w:tc>
          <w:tcPr>
            <w:tcW w:w="4940" w:type="dxa"/>
            <w:vAlign w:val="bottom"/>
            <w:tcBorders>
              <w:bottom w:val="single" w:sz="8" w:color="E2E3E4"/>
            </w:tcBorders>
            <w:gridSpan w:val="3"/>
          </w:tcPr>
          <w:p>
            <w:pPr>
              <w:spacing w:after="0"/>
              <w:rPr>
                <w:sz w:val="20"/>
                <w:szCs w:val="20"/>
                <w:color w:val="auto"/>
              </w:rPr>
            </w:pPr>
            <w:r>
              <w:rPr>
                <w:rFonts w:ascii="Times New Roman" w:cs="Times New Roman" w:eastAsia="Times New Roman" w:hAnsi="Times New Roman"/>
                <w:sz w:val="19"/>
                <w:szCs w:val="19"/>
                <w:color w:val="231F20"/>
              </w:rPr>
              <w:t>Total current benefit for income taxes</w:t>
            </w:r>
          </w:p>
        </w:tc>
        <w:tc>
          <w:tcPr>
            <w:tcW w:w="9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3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tcBorders>
              <w:bottom w:val="single" w:sz="8" w:color="E2E3E4"/>
            </w:tcBorders>
            <w:gridSpan w:val="2"/>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bottom w:val="single" w:sz="8" w:color="231F20"/>
            </w:tcBorders>
          </w:tcPr>
          <w:p>
            <w:pPr>
              <w:ind w:left="700"/>
              <w:spacing w:after="0"/>
              <w:rPr>
                <w:sz w:val="20"/>
                <w:szCs w:val="20"/>
                <w:color w:val="auto"/>
              </w:rPr>
            </w:pPr>
            <w:r>
              <w:rPr>
                <w:rFonts w:ascii="Times New Roman" w:cs="Times New Roman" w:eastAsia="Times New Roman" w:hAnsi="Times New Roman"/>
                <w:sz w:val="19"/>
                <w:szCs w:val="19"/>
                <w:color w:val="231F20"/>
                <w:w w:val="94"/>
              </w:rPr>
              <w:t>—</w:t>
            </w:r>
          </w:p>
        </w:tc>
        <w:tc>
          <w:tcPr>
            <w:tcW w:w="200" w:type="dxa"/>
            <w:vAlign w:val="bottom"/>
            <w:tcBorders>
              <w:bottom w:val="single" w:sz="8" w:color="E2E3E4"/>
            </w:tcBorders>
            <w:gridSpan w:val="2"/>
          </w:tcPr>
          <w:p>
            <w:pPr>
              <w:spacing w:after="0"/>
              <w:rPr>
                <w:sz w:val="20"/>
                <w:szCs w:val="20"/>
                <w:color w:val="auto"/>
              </w:rPr>
            </w:pPr>
          </w:p>
        </w:tc>
        <w:tc>
          <w:tcPr>
            <w:tcW w:w="9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677</w:t>
            </w:r>
          </w:p>
        </w:tc>
        <w:tc>
          <w:tcPr>
            <w:tcW w:w="60" w:type="dxa"/>
            <w:vAlign w:val="bottom"/>
            <w:tcBorders>
              <w:bottom w:val="single" w:sz="8" w:color="E2E3E4"/>
            </w:tcBorders>
          </w:tcPr>
          <w:p>
            <w:pPr>
              <w:spacing w:after="0"/>
              <w:rPr>
                <w:sz w:val="20"/>
                <w:szCs w:val="20"/>
                <w:color w:val="auto"/>
              </w:rPr>
            </w:pPr>
          </w:p>
        </w:tc>
      </w:tr>
      <w:tr>
        <w:trPr>
          <w:trHeight w:val="224"/>
        </w:trPr>
        <w:tc>
          <w:tcPr>
            <w:tcW w:w="482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rPr>
              <w:t>Deferred benefit for income taxes:</w:t>
            </w:r>
          </w:p>
        </w:tc>
        <w:tc>
          <w:tcPr>
            <w:tcW w:w="10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90" w:type="dxa"/>
            <w:vAlign w:val="bottom"/>
            <w:shd w:val="clear" w:color="auto" w:fill="E2E3E4"/>
          </w:tcPr>
          <w:p>
            <w:pPr>
              <w:spacing w:after="0"/>
              <w:rPr>
                <w:sz w:val="19"/>
                <w:szCs w:val="19"/>
                <w:color w:val="auto"/>
              </w:rPr>
            </w:pPr>
          </w:p>
        </w:tc>
        <w:tc>
          <w:tcPr>
            <w:tcW w:w="630" w:type="dxa"/>
            <w:vAlign w:val="bottom"/>
            <w:shd w:val="clear" w:color="auto" w:fill="E2E3E4"/>
          </w:tcPr>
          <w:p>
            <w:pPr>
              <w:spacing w:after="0"/>
              <w:rPr>
                <w:sz w:val="19"/>
                <w:szCs w:val="19"/>
                <w:color w:val="auto"/>
              </w:rPr>
            </w:pPr>
          </w:p>
        </w:tc>
        <w:tc>
          <w:tcPr>
            <w:tcW w:w="280" w:type="dxa"/>
            <w:vAlign w:val="bottom"/>
            <w:shd w:val="clear" w:color="auto" w:fill="E2E3E4"/>
          </w:tcPr>
          <w:p>
            <w:pPr>
              <w:spacing w:after="0"/>
              <w:rPr>
                <w:sz w:val="19"/>
                <w:szCs w:val="19"/>
                <w:color w:val="auto"/>
              </w:rPr>
            </w:pPr>
          </w:p>
        </w:tc>
        <w:tc>
          <w:tcPr>
            <w:tcW w:w="16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00" w:type="dxa"/>
            <w:vAlign w:val="bottom"/>
            <w:shd w:val="clear" w:color="auto" w:fill="E2E3E4"/>
          </w:tcPr>
          <w:p>
            <w:pPr>
              <w:spacing w:after="0"/>
              <w:rPr>
                <w:sz w:val="19"/>
                <w:szCs w:val="19"/>
                <w:color w:val="auto"/>
              </w:rPr>
            </w:pPr>
          </w:p>
        </w:tc>
        <w:tc>
          <w:tcPr>
            <w:tcW w:w="900" w:type="dxa"/>
            <w:vAlign w:val="bottom"/>
            <w:shd w:val="clear" w:color="auto" w:fill="E2E3E4"/>
          </w:tcPr>
          <w:p>
            <w:pPr>
              <w:spacing w:after="0"/>
              <w:rPr>
                <w:sz w:val="19"/>
                <w:szCs w:val="19"/>
                <w:color w:val="auto"/>
              </w:rPr>
            </w:pPr>
          </w:p>
        </w:tc>
        <w:tc>
          <w:tcPr>
            <w:tcW w:w="18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90" w:type="dxa"/>
            <w:vAlign w:val="bottom"/>
            <w:shd w:val="clear" w:color="auto" w:fill="E2E3E4"/>
          </w:tcPr>
          <w:p>
            <w:pPr>
              <w:spacing w:after="0"/>
              <w:rPr>
                <w:sz w:val="19"/>
                <w:szCs w:val="19"/>
                <w:color w:val="auto"/>
              </w:rPr>
            </w:pPr>
          </w:p>
        </w:tc>
        <w:tc>
          <w:tcPr>
            <w:tcW w:w="150" w:type="dxa"/>
            <w:vAlign w:val="bottom"/>
            <w:shd w:val="clear" w:color="auto" w:fill="E2E3E4"/>
          </w:tcPr>
          <w:p>
            <w:pPr>
              <w:spacing w:after="0"/>
              <w:rPr>
                <w:sz w:val="19"/>
                <w:szCs w:val="19"/>
                <w:color w:val="auto"/>
              </w:rPr>
            </w:pPr>
          </w:p>
        </w:tc>
        <w:tc>
          <w:tcPr>
            <w:tcW w:w="760" w:type="dxa"/>
            <w:vAlign w:val="bottom"/>
            <w:shd w:val="clear" w:color="auto" w:fill="E2E3E4"/>
          </w:tcPr>
          <w:p>
            <w:pPr>
              <w:spacing w:after="0"/>
              <w:rPr>
                <w:sz w:val="19"/>
                <w:szCs w:val="19"/>
                <w:color w:val="auto"/>
              </w:rPr>
            </w:pPr>
          </w:p>
        </w:tc>
        <w:tc>
          <w:tcPr>
            <w:tcW w:w="60" w:type="dxa"/>
            <w:vAlign w:val="bottom"/>
            <w:shd w:val="clear" w:color="auto" w:fill="E2E3E4"/>
          </w:tcPr>
          <w:p>
            <w:pPr>
              <w:spacing w:after="0"/>
              <w:rPr>
                <w:sz w:val="19"/>
                <w:szCs w:val="19"/>
                <w:color w:val="auto"/>
              </w:rPr>
            </w:pPr>
          </w:p>
        </w:tc>
      </w:tr>
      <w:tr>
        <w:trPr>
          <w:trHeight w:val="237"/>
        </w:trPr>
        <w:tc>
          <w:tcPr>
            <w:tcW w:w="4820" w:type="dxa"/>
            <w:vAlign w:val="bottom"/>
            <w:tcBorders>
              <w:bottom w:val="single" w:sz="8" w:color="E2E3E4"/>
            </w:tcBorders>
          </w:tcPr>
          <w:p>
            <w:pPr>
              <w:ind w:left="200"/>
              <w:spacing w:after="0"/>
              <w:rPr>
                <w:sz w:val="20"/>
                <w:szCs w:val="20"/>
                <w:color w:val="auto"/>
              </w:rPr>
            </w:pPr>
            <w:r>
              <w:rPr>
                <w:rFonts w:ascii="Times New Roman" w:cs="Times New Roman" w:eastAsia="Times New Roman" w:hAnsi="Times New Roman"/>
                <w:sz w:val="19"/>
                <w:szCs w:val="19"/>
                <w:color w:val="231F20"/>
              </w:rPr>
              <w:t>Singapore</w:t>
            </w:r>
          </w:p>
        </w:tc>
        <w:tc>
          <w:tcPr>
            <w:tcW w:w="120" w:type="dxa"/>
            <w:vAlign w:val="bottom"/>
            <w:tcBorders>
              <w:bottom w:val="single" w:sz="8" w:color="E2E3E4"/>
            </w:tcBorders>
            <w:gridSpan w:val="2"/>
          </w:tcPr>
          <w:p>
            <w:pPr>
              <w:spacing w:after="0"/>
              <w:rPr>
                <w:sz w:val="20"/>
                <w:szCs w:val="20"/>
                <w:color w:val="auto"/>
              </w:rPr>
            </w:pPr>
          </w:p>
        </w:tc>
        <w:tc>
          <w:tcPr>
            <w:tcW w:w="9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30" w:type="dxa"/>
            <w:vAlign w:val="bottom"/>
            <w:tcBorders>
              <w:bottom w:val="single" w:sz="8" w:color="E2E3E4"/>
            </w:tcBorders>
          </w:tcPr>
          <w:p>
            <w:pPr>
              <w:spacing w:after="0"/>
              <w:rPr>
                <w:sz w:val="20"/>
                <w:szCs w:val="20"/>
                <w:color w:val="auto"/>
              </w:rPr>
            </w:pPr>
          </w:p>
        </w:tc>
        <w:tc>
          <w:tcPr>
            <w:tcW w:w="280" w:type="dxa"/>
            <w:vAlign w:val="bottom"/>
            <w:tcBorders>
              <w:bottom w:val="single" w:sz="8" w:color="E2E3E4"/>
            </w:tcBorders>
          </w:tcPr>
          <w:p>
            <w:pPr>
              <w:ind w:left="60"/>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E2E3E4"/>
            </w:tcBorders>
          </w:tcPr>
          <w:p>
            <w:pPr>
              <w:ind w:left="700"/>
              <w:spacing w:after="0"/>
              <w:rPr>
                <w:sz w:val="20"/>
                <w:szCs w:val="20"/>
                <w:color w:val="auto"/>
              </w:rPr>
            </w:pPr>
            <w:r>
              <w:rPr>
                <w:rFonts w:ascii="Times New Roman" w:cs="Times New Roman" w:eastAsia="Times New Roman" w:hAnsi="Times New Roman"/>
                <w:sz w:val="19"/>
                <w:szCs w:val="19"/>
                <w:color w:val="231F20"/>
                <w:w w:val="94"/>
              </w:rPr>
              <w:t>—</w:t>
            </w:r>
          </w:p>
        </w:tc>
        <w:tc>
          <w:tcPr>
            <w:tcW w:w="29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50" w:type="dxa"/>
            <w:vAlign w:val="bottom"/>
            <w:tcBorders>
              <w:bottom w:val="single" w:sz="8" w:color="E2E3E4"/>
            </w:tcBorders>
          </w:tcPr>
          <w:p>
            <w:pPr>
              <w:spacing w:after="0"/>
              <w:rPr>
                <w:sz w:val="20"/>
                <w:szCs w:val="20"/>
                <w:color w:val="auto"/>
              </w:rPr>
            </w:pPr>
          </w:p>
        </w:tc>
        <w:tc>
          <w:tcPr>
            <w:tcW w:w="76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E2E3E4"/>
            </w:tcBorders>
          </w:tcPr>
          <w:p>
            <w:pPr>
              <w:spacing w:after="0"/>
              <w:rPr>
                <w:sz w:val="20"/>
                <w:szCs w:val="20"/>
                <w:color w:val="auto"/>
              </w:rPr>
            </w:pPr>
          </w:p>
        </w:tc>
      </w:tr>
      <w:tr>
        <w:trPr>
          <w:trHeight w:val="235"/>
        </w:trPr>
        <w:tc>
          <w:tcPr>
            <w:tcW w:w="4820" w:type="dxa"/>
            <w:vAlign w:val="bottom"/>
            <w:tcBorders>
              <w:bottom w:val="single" w:sz="8" w:color="E2E3E4"/>
            </w:tcBorders>
            <w:shd w:val="clear" w:color="auto" w:fill="E2E3E4"/>
          </w:tcPr>
          <w:p>
            <w:pPr>
              <w:ind w:left="200"/>
              <w:spacing w:after="0" w:line="215" w:lineRule="exact"/>
              <w:rPr>
                <w:sz w:val="20"/>
                <w:szCs w:val="20"/>
                <w:color w:val="auto"/>
              </w:rPr>
            </w:pPr>
            <w:r>
              <w:rPr>
                <w:rFonts w:ascii="Times New Roman" w:cs="Times New Roman" w:eastAsia="Times New Roman" w:hAnsi="Times New Roman"/>
                <w:sz w:val="19"/>
                <w:szCs w:val="19"/>
                <w:color w:val="231F20"/>
              </w:rPr>
              <w:t>Rest of world</w:t>
            </w:r>
          </w:p>
        </w:tc>
        <w:tc>
          <w:tcPr>
            <w:tcW w:w="10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90" w:type="dxa"/>
            <w:vAlign w:val="bottom"/>
            <w:tcBorders>
              <w:bottom w:val="single" w:sz="8" w:color="231F20"/>
            </w:tcBorders>
            <w:shd w:val="clear" w:color="auto" w:fill="E2E3E4"/>
          </w:tcPr>
          <w:p>
            <w:pPr>
              <w:spacing w:after="0"/>
              <w:rPr>
                <w:sz w:val="20"/>
                <w:szCs w:val="20"/>
                <w:color w:val="auto"/>
              </w:rPr>
            </w:pPr>
          </w:p>
        </w:tc>
        <w:tc>
          <w:tcPr>
            <w:tcW w:w="630" w:type="dxa"/>
            <w:vAlign w:val="bottom"/>
            <w:tcBorders>
              <w:bottom w:val="single" w:sz="8" w:color="231F20"/>
            </w:tcBorders>
            <w:shd w:val="clear" w:color="auto" w:fill="E2E3E4"/>
          </w:tcPr>
          <w:p>
            <w:pPr>
              <w:spacing w:after="0"/>
              <w:rPr>
                <w:sz w:val="20"/>
                <w:szCs w:val="20"/>
                <w:color w:val="auto"/>
              </w:rPr>
            </w:pPr>
          </w:p>
        </w:tc>
        <w:tc>
          <w:tcPr>
            <w:tcW w:w="280" w:type="dxa"/>
            <w:vAlign w:val="bottom"/>
            <w:tcBorders>
              <w:bottom w:val="single" w:sz="8" w:color="231F20"/>
            </w:tcBorders>
            <w:shd w:val="clear" w:color="auto" w:fill="E2E3E4"/>
          </w:tcPr>
          <w:p>
            <w:pPr>
              <w:ind w:left="60"/>
              <w:spacing w:after="0" w:line="215"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100" w:type="dxa"/>
            <w:vAlign w:val="bottom"/>
            <w:tcBorders>
              <w:bottom w:val="single" w:sz="8" w:color="231F20"/>
            </w:tcBorders>
            <w:shd w:val="clear" w:color="auto" w:fill="E2E3E4"/>
          </w:tcPr>
          <w:p>
            <w:pPr>
              <w:spacing w:after="0"/>
              <w:rPr>
                <w:sz w:val="20"/>
                <w:szCs w:val="20"/>
                <w:color w:val="auto"/>
              </w:rPr>
            </w:pPr>
          </w:p>
        </w:tc>
        <w:tc>
          <w:tcPr>
            <w:tcW w:w="900" w:type="dxa"/>
            <w:vAlign w:val="bottom"/>
            <w:tcBorders>
              <w:bottom w:val="single" w:sz="8" w:color="231F20"/>
            </w:tcBorders>
            <w:shd w:val="clear" w:color="auto" w:fill="E2E3E4"/>
          </w:tcPr>
          <w:p>
            <w:pPr>
              <w:ind w:left="700"/>
              <w:spacing w:after="0" w:line="215" w:lineRule="exact"/>
              <w:rPr>
                <w:sz w:val="20"/>
                <w:szCs w:val="20"/>
                <w:color w:val="auto"/>
              </w:rPr>
            </w:pPr>
            <w:r>
              <w:rPr>
                <w:rFonts w:ascii="Times New Roman" w:cs="Times New Roman" w:eastAsia="Times New Roman" w:hAnsi="Times New Roman"/>
                <w:sz w:val="19"/>
                <w:szCs w:val="19"/>
                <w:color w:val="231F20"/>
                <w:w w:val="94"/>
              </w:rPr>
              <w:t>—</w:t>
            </w:r>
          </w:p>
        </w:tc>
        <w:tc>
          <w:tcPr>
            <w:tcW w:w="180" w:type="dxa"/>
            <w:vAlign w:val="bottom"/>
            <w:tcBorders>
              <w:bottom w:val="single" w:sz="8" w:color="E2E3E4"/>
            </w:tcBorders>
            <w:shd w:val="clear" w:color="auto" w:fill="E2E3E4"/>
          </w:tcPr>
          <w:p>
            <w:pPr>
              <w:spacing w:after="0"/>
              <w:rPr>
                <w:sz w:val="20"/>
                <w:szCs w:val="20"/>
                <w:color w:val="auto"/>
              </w:rPr>
            </w:pPr>
          </w:p>
        </w:tc>
        <w:tc>
          <w:tcPr>
            <w:tcW w:w="20" w:type="dxa"/>
            <w:vAlign w:val="bottom"/>
            <w:tcBorders>
              <w:bottom w:val="single" w:sz="8" w:color="E2E3E4"/>
            </w:tcBorders>
            <w:shd w:val="clear" w:color="auto" w:fill="E2E3E4"/>
          </w:tcPr>
          <w:p>
            <w:pPr>
              <w:spacing w:after="0"/>
              <w:rPr>
                <w:sz w:val="20"/>
                <w:szCs w:val="20"/>
                <w:color w:val="auto"/>
              </w:rPr>
            </w:pPr>
          </w:p>
        </w:tc>
        <w:tc>
          <w:tcPr>
            <w:tcW w:w="90" w:type="dxa"/>
            <w:vAlign w:val="bottom"/>
            <w:tcBorders>
              <w:bottom w:val="single" w:sz="8" w:color="231F20"/>
            </w:tcBorders>
            <w:shd w:val="clear" w:color="auto" w:fill="E2E3E4"/>
          </w:tcPr>
          <w:p>
            <w:pPr>
              <w:spacing w:after="0"/>
              <w:rPr>
                <w:sz w:val="20"/>
                <w:szCs w:val="20"/>
                <w:color w:val="auto"/>
              </w:rPr>
            </w:pPr>
          </w:p>
        </w:tc>
        <w:tc>
          <w:tcPr>
            <w:tcW w:w="150" w:type="dxa"/>
            <w:vAlign w:val="bottom"/>
            <w:tcBorders>
              <w:bottom w:val="single" w:sz="8" w:color="231F20"/>
            </w:tcBorders>
            <w:shd w:val="clear" w:color="auto" w:fill="E2E3E4"/>
          </w:tcPr>
          <w:p>
            <w:pPr>
              <w:spacing w:after="0"/>
              <w:rPr>
                <w:sz w:val="20"/>
                <w:szCs w:val="20"/>
                <w:color w:val="auto"/>
              </w:rPr>
            </w:pPr>
          </w:p>
        </w:tc>
        <w:tc>
          <w:tcPr>
            <w:tcW w:w="760" w:type="dxa"/>
            <w:vAlign w:val="bottom"/>
            <w:tcBorders>
              <w:bottom w:val="single" w:sz="8" w:color="231F20"/>
            </w:tcBorders>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E2E3E4"/>
            </w:tcBorders>
            <w:shd w:val="clear" w:color="auto" w:fill="E2E3E4"/>
          </w:tcPr>
          <w:p>
            <w:pPr>
              <w:spacing w:after="0"/>
              <w:rPr>
                <w:sz w:val="20"/>
                <w:szCs w:val="20"/>
                <w:color w:val="auto"/>
              </w:rPr>
            </w:pPr>
          </w:p>
        </w:tc>
      </w:tr>
      <w:tr>
        <w:trPr>
          <w:trHeight w:val="232"/>
        </w:trPr>
        <w:tc>
          <w:tcPr>
            <w:tcW w:w="4940" w:type="dxa"/>
            <w:vAlign w:val="bottom"/>
            <w:tcBorders>
              <w:bottom w:val="single" w:sz="8" w:color="E2E3E4"/>
            </w:tcBorders>
            <w:gridSpan w:val="3"/>
          </w:tcPr>
          <w:p>
            <w:pPr>
              <w:spacing w:after="0" w:line="207" w:lineRule="exact"/>
              <w:rPr>
                <w:sz w:val="20"/>
                <w:szCs w:val="20"/>
                <w:color w:val="auto"/>
              </w:rPr>
            </w:pPr>
            <w:r>
              <w:rPr>
                <w:rFonts w:ascii="Times New Roman" w:cs="Times New Roman" w:eastAsia="Times New Roman" w:hAnsi="Times New Roman"/>
                <w:sz w:val="19"/>
                <w:szCs w:val="19"/>
                <w:color w:val="231F20"/>
              </w:rPr>
              <w:t>Total deferred benefit for income taxes</w:t>
            </w:r>
          </w:p>
        </w:tc>
        <w:tc>
          <w:tcPr>
            <w:tcW w:w="9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3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ind w:left="60"/>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180" w:type="dxa"/>
            <w:vAlign w:val="bottom"/>
            <w:tcBorders>
              <w:bottom w:val="single" w:sz="8" w:color="E2E3E4"/>
            </w:tcBorders>
            <w:gridSpan w:val="2"/>
          </w:tcPr>
          <w:p>
            <w:pPr>
              <w:spacing w:after="0"/>
              <w:rPr>
                <w:sz w:val="19"/>
                <w:szCs w:val="19"/>
                <w:color w:val="auto"/>
              </w:rPr>
            </w:pPr>
          </w:p>
        </w:tc>
        <w:tc>
          <w:tcPr>
            <w:tcW w:w="1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bottom w:val="single" w:sz="8" w:color="231F20"/>
            </w:tcBorders>
          </w:tcPr>
          <w:p>
            <w:pPr>
              <w:ind w:left="700"/>
              <w:spacing w:after="0" w:line="207" w:lineRule="exact"/>
              <w:rPr>
                <w:sz w:val="20"/>
                <w:szCs w:val="20"/>
                <w:color w:val="auto"/>
              </w:rPr>
            </w:pPr>
            <w:r>
              <w:rPr>
                <w:rFonts w:ascii="Times New Roman" w:cs="Times New Roman" w:eastAsia="Times New Roman" w:hAnsi="Times New Roman"/>
                <w:sz w:val="19"/>
                <w:szCs w:val="19"/>
                <w:color w:val="231F20"/>
                <w:w w:val="94"/>
              </w:rPr>
              <w:t>—</w:t>
            </w:r>
          </w:p>
        </w:tc>
        <w:tc>
          <w:tcPr>
            <w:tcW w:w="200" w:type="dxa"/>
            <w:vAlign w:val="bottom"/>
            <w:tcBorders>
              <w:bottom w:val="single" w:sz="8" w:color="E2E3E4"/>
            </w:tcBorders>
            <w:gridSpan w:val="2"/>
          </w:tcPr>
          <w:p>
            <w:pPr>
              <w:spacing w:after="0"/>
              <w:rPr>
                <w:sz w:val="19"/>
                <w:szCs w:val="19"/>
                <w:color w:val="auto"/>
              </w:rPr>
            </w:pPr>
          </w:p>
        </w:tc>
        <w:tc>
          <w:tcPr>
            <w:tcW w:w="9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E2E3E4"/>
            </w:tcBorders>
          </w:tcPr>
          <w:p>
            <w:pPr>
              <w:spacing w:after="0"/>
              <w:rPr>
                <w:sz w:val="19"/>
                <w:szCs w:val="19"/>
                <w:color w:val="auto"/>
              </w:rPr>
            </w:pPr>
          </w:p>
        </w:tc>
      </w:tr>
      <w:tr>
        <w:trPr>
          <w:trHeight w:val="208"/>
        </w:trPr>
        <w:tc>
          <w:tcPr>
            <w:tcW w:w="4820" w:type="dxa"/>
            <w:vAlign w:val="bottom"/>
            <w:tcBorders>
              <w:top w:val="single" w:sz="8" w:color="E2E3E4"/>
            </w:tcBorders>
            <w:shd w:val="clear" w:color="auto" w:fill="E2E3E4"/>
          </w:tcPr>
          <w:p>
            <w:pPr>
              <w:spacing w:after="0" w:line="208" w:lineRule="exact"/>
              <w:rPr>
                <w:sz w:val="20"/>
                <w:szCs w:val="20"/>
                <w:color w:val="auto"/>
              </w:rPr>
            </w:pPr>
            <w:r>
              <w:rPr>
                <w:rFonts w:ascii="Times New Roman" w:cs="Times New Roman" w:eastAsia="Times New Roman" w:hAnsi="Times New Roman"/>
                <w:sz w:val="19"/>
                <w:szCs w:val="19"/>
                <w:color w:val="231F20"/>
              </w:rPr>
              <w:t>Total benefit for income taxes</w:t>
            </w:r>
          </w:p>
        </w:tc>
        <w:tc>
          <w:tcPr>
            <w:tcW w:w="10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90" w:type="dxa"/>
            <w:vAlign w:val="bottom"/>
            <w:tcBorders>
              <w:top w:val="single" w:sz="8" w:color="E2E3E4"/>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630" w:type="dxa"/>
            <w:vAlign w:val="bottom"/>
            <w:tcBorders>
              <w:top w:val="single" w:sz="8" w:color="E2E3E4"/>
              <w:bottom w:val="single" w:sz="8" w:color="231F20"/>
            </w:tcBorders>
            <w:shd w:val="clear" w:color="auto" w:fill="E2E3E4"/>
          </w:tcPr>
          <w:p>
            <w:pPr>
              <w:spacing w:after="0"/>
              <w:rPr>
                <w:sz w:val="18"/>
                <w:szCs w:val="18"/>
                <w:color w:val="auto"/>
              </w:rPr>
            </w:pPr>
          </w:p>
        </w:tc>
        <w:tc>
          <w:tcPr>
            <w:tcW w:w="280" w:type="dxa"/>
            <w:vAlign w:val="bottom"/>
            <w:tcBorders>
              <w:top w:val="single" w:sz="8" w:color="E2E3E4"/>
              <w:bottom w:val="single" w:sz="8" w:color="231F20"/>
            </w:tcBorders>
            <w:shd w:val="clear" w:color="auto" w:fill="E2E3E4"/>
          </w:tcPr>
          <w:p>
            <w:pPr>
              <w:ind w:left="60"/>
              <w:spacing w:after="0" w:line="208"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00" w:type="dxa"/>
            <w:vAlign w:val="bottom"/>
            <w:tcBorders>
              <w:top w:val="single" w:sz="8" w:color="E2E3E4"/>
              <w:bottom w:val="single" w:sz="8" w:color="231F20"/>
            </w:tcBorders>
            <w:shd w:val="clear" w:color="auto" w:fill="E2E3E4"/>
          </w:tcPr>
          <w:p>
            <w:pPr>
              <w:ind w:left="700"/>
              <w:spacing w:after="0" w:line="208" w:lineRule="exact"/>
              <w:rPr>
                <w:sz w:val="20"/>
                <w:szCs w:val="20"/>
                <w:color w:val="auto"/>
              </w:rPr>
            </w:pPr>
            <w:r>
              <w:rPr>
                <w:rFonts w:ascii="Times New Roman" w:cs="Times New Roman" w:eastAsia="Times New Roman" w:hAnsi="Times New Roman"/>
                <w:sz w:val="19"/>
                <w:szCs w:val="19"/>
                <w:color w:val="231F20"/>
                <w:w w:val="94"/>
              </w:rPr>
              <w:t>—</w:t>
            </w:r>
          </w:p>
        </w:tc>
        <w:tc>
          <w:tcPr>
            <w:tcW w:w="18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90" w:type="dxa"/>
            <w:vAlign w:val="bottom"/>
            <w:tcBorders>
              <w:top w:val="single" w:sz="8" w:color="E2E3E4"/>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150" w:type="dxa"/>
            <w:vAlign w:val="bottom"/>
            <w:tcBorders>
              <w:top w:val="single" w:sz="8" w:color="E2E3E4"/>
              <w:bottom w:val="single" w:sz="8" w:color="231F20"/>
            </w:tcBorders>
            <w:shd w:val="clear" w:color="auto" w:fill="E2E3E4"/>
          </w:tcPr>
          <w:p>
            <w:pPr>
              <w:spacing w:after="0"/>
              <w:rPr>
                <w:sz w:val="18"/>
                <w:szCs w:val="18"/>
                <w:color w:val="auto"/>
              </w:rPr>
            </w:pPr>
          </w:p>
        </w:tc>
        <w:tc>
          <w:tcPr>
            <w:tcW w:w="76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677</w:t>
            </w:r>
          </w:p>
        </w:tc>
        <w:tc>
          <w:tcPr>
            <w:tcW w:w="60" w:type="dxa"/>
            <w:vAlign w:val="bottom"/>
            <w:tcBorders>
              <w:top w:val="single" w:sz="8" w:color="E2E3E4"/>
            </w:tcBorders>
            <w:shd w:val="clear" w:color="auto" w:fill="E2E3E4"/>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0" w:type="dxa"/>
            <w:vAlign w:val="bottom"/>
            <w:tcBorders>
              <w:bottom w:val="single" w:sz="8" w:color="231F20"/>
            </w:tcBorders>
          </w:tcPr>
          <w:p>
            <w:pPr>
              <w:spacing w:after="0" w:line="20" w:lineRule="exact"/>
              <w:rPr>
                <w:sz w:val="1"/>
                <w:szCs w:val="1"/>
                <w:color w:val="auto"/>
              </w:rPr>
            </w:pPr>
          </w:p>
        </w:tc>
        <w:tc>
          <w:tcPr>
            <w:tcW w:w="63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0" w:type="dxa"/>
            <w:vAlign w:val="bottom"/>
            <w:tcBorders>
              <w:bottom w:val="single" w:sz="8" w:color="231F20"/>
            </w:tcBorders>
          </w:tcPr>
          <w:p>
            <w:pPr>
              <w:spacing w:after="0" w:line="20" w:lineRule="exact"/>
              <w:rPr>
                <w:sz w:val="1"/>
                <w:szCs w:val="1"/>
                <w:color w:val="auto"/>
              </w:rPr>
            </w:pPr>
          </w:p>
        </w:tc>
        <w:tc>
          <w:tcPr>
            <w:tcW w:w="15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664845</wp:posOffset>
                </wp:positionH>
                <wp:positionV relativeFrom="paragraph">
                  <wp:posOffset>-1250315</wp:posOffset>
                </wp:positionV>
                <wp:extent cx="532193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193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98.4499pt" to="471.4pt,-98.4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3790950</wp:posOffset>
                </wp:positionH>
                <wp:positionV relativeFrom="paragraph">
                  <wp:posOffset>-330835</wp:posOffset>
                </wp:positionV>
                <wp:extent cx="63563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5pt,-26.0499pt" to="348.55pt,-26.0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4546600</wp:posOffset>
                </wp:positionH>
                <wp:positionV relativeFrom="paragraph">
                  <wp:posOffset>-330835</wp:posOffset>
                </wp:positionV>
                <wp:extent cx="63690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pt,-26.0499pt" to="408.15pt,-26.0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5302250</wp:posOffset>
                </wp:positionH>
                <wp:positionV relativeFrom="paragraph">
                  <wp:posOffset>-330835</wp:posOffset>
                </wp:positionV>
                <wp:extent cx="63690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5pt,-26.0499pt" to="467.65pt,-26.0499pt" o:allowincell="f" strokecolor="#FFFFFF" strokeweight="0.6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F-23</w:t>
      </w:r>
    </w:p>
    <w:p>
      <w:pPr>
        <w:sectPr>
          <w:pgSz w:w="11880" w:h="15480" w:orient="portrait"/>
          <w:cols w:equalWidth="0" w:num="1">
            <w:col w:w="10480"/>
          </w:cols>
          <w:pgMar w:left="700" w:top="963" w:right="700" w:bottom="213"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9"/>
          <w:szCs w:val="19"/>
          <w:color w:val="231F20"/>
        </w:rPr>
        <w:t>A reconciliation of the Singapore statutory income tax rate to the Company’s effective income tax rate is as follows:</w:t>
      </w:r>
    </w:p>
    <w:p>
      <w:pPr>
        <w:spacing w:after="0" w:line="242"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03"/>
              <w:spacing w:after="0"/>
              <w:rPr>
                <w:sz w:val="20"/>
                <w:szCs w:val="20"/>
                <w:color w:val="auto"/>
              </w:rPr>
            </w:pPr>
            <w:r>
              <w:rPr>
                <w:rFonts w:ascii="Times New Roman" w:cs="Times New Roman" w:eastAsia="Times New Roman" w:hAnsi="Times New Roman"/>
                <w:sz w:val="16"/>
                <w:szCs w:val="16"/>
                <w:b w:val="1"/>
                <w:bCs w:val="1"/>
                <w:color w:val="231F20"/>
                <w:w w:val="96"/>
              </w:rPr>
              <w:t>Year Ended December 31,</w:t>
            </w:r>
          </w:p>
        </w:tc>
      </w:tr>
      <w:tr>
        <w:trPr>
          <w:trHeight w:val="183"/>
        </w:trPr>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231F20"/>
              <w:bottom w:val="single" w:sz="8" w:color="231F20"/>
            </w:tcBorders>
          </w:tcPr>
          <w:p>
            <w:pPr>
              <w:spacing w:after="0"/>
              <w:rPr>
                <w:sz w:val="15"/>
                <w:szCs w:val="15"/>
                <w:color w:val="auto"/>
              </w:rPr>
            </w:pPr>
          </w:p>
        </w:tc>
        <w:tc>
          <w:tcPr>
            <w:tcW w:w="1300" w:type="dxa"/>
            <w:vAlign w:val="bottom"/>
            <w:tcBorders>
              <w:top w:val="single" w:sz="8" w:color="231F20"/>
              <w:bottom w:val="single" w:sz="8" w:color="231F20"/>
            </w:tcBorders>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b w:val="1"/>
                <w:bCs w:val="1"/>
                <w:color w:val="231F20"/>
              </w:rPr>
              <w:t>2025</w:t>
            </w:r>
          </w:p>
        </w:tc>
        <w:tc>
          <w:tcPr>
            <w:tcW w:w="1060" w:type="dxa"/>
            <w:vAlign w:val="bottom"/>
            <w:tcBorders>
              <w:top w:val="single" w:sz="8" w:color="231F20"/>
              <w:bottom w:val="single" w:sz="8" w:color="231F20"/>
            </w:tcBorders>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1060" w:type="dxa"/>
            <w:vAlign w:val="bottom"/>
          </w:tcPr>
          <w:p>
            <w:pPr>
              <w:jc w:val="right"/>
              <w:ind w:right="225"/>
              <w:spacing w:after="0" w:line="176" w:lineRule="exact"/>
              <w:rPr>
                <w:sz w:val="20"/>
                <w:szCs w:val="20"/>
                <w:color w:val="auto"/>
              </w:rPr>
            </w:pPr>
            <w:r>
              <w:rPr>
                <w:rFonts w:ascii="Times New Roman" w:cs="Times New Roman" w:eastAsia="Times New Roman" w:hAnsi="Times New Roman"/>
                <w:sz w:val="16"/>
                <w:szCs w:val="16"/>
                <w:b w:val="1"/>
                <w:bCs w:val="1"/>
                <w:color w:val="231F20"/>
              </w:rPr>
              <w:t>Percent</w:t>
            </w:r>
          </w:p>
        </w:tc>
        <w:tc>
          <w:tcPr>
            <w:tcW w:w="160" w:type="dxa"/>
            <w:vAlign w:val="bottom"/>
          </w:tcPr>
          <w:p>
            <w:pPr>
              <w:spacing w:after="0"/>
              <w:rPr>
                <w:sz w:val="15"/>
                <w:szCs w:val="15"/>
                <w:color w:val="auto"/>
              </w:rPr>
            </w:pPr>
          </w:p>
        </w:tc>
      </w:tr>
      <w:tr>
        <w:trPr>
          <w:trHeight w:val="242"/>
        </w:trPr>
        <w:tc>
          <w:tcPr>
            <w:tcW w:w="5600" w:type="dxa"/>
            <w:vAlign w:val="bottom"/>
            <w:gridSpan w:val="5"/>
          </w:tcPr>
          <w:p>
            <w:pPr>
              <w:spacing w:after="0"/>
              <w:rPr>
                <w:sz w:val="20"/>
                <w:szCs w:val="20"/>
                <w:color w:val="auto"/>
              </w:rPr>
            </w:pPr>
            <w:r>
              <w:rPr>
                <w:rFonts w:ascii="Times New Roman" w:cs="Times New Roman" w:eastAsia="Times New Roman" w:hAnsi="Times New Roman"/>
                <w:sz w:val="19"/>
                <w:szCs w:val="19"/>
                <w:color w:val="231F20"/>
              </w:rPr>
              <w:t>Singapore statutory income tax rate</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9"/>
                <w:szCs w:val="19"/>
                <w:color w:val="231F20"/>
              </w:rPr>
              <w:t>(34,744 )</w:t>
            </w:r>
          </w:p>
        </w:tc>
        <w:tc>
          <w:tcPr>
            <w:tcW w:w="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17.0 %</w:t>
            </w:r>
          </w:p>
        </w:tc>
      </w:tr>
      <w:tr>
        <w:trPr>
          <w:trHeight w:val="235"/>
        </w:trPr>
        <w:tc>
          <w:tcPr>
            <w:tcW w:w="5600" w:type="dxa"/>
            <w:vAlign w:val="bottom"/>
            <w:gridSpan w:val="5"/>
            <w:shd w:val="clear" w:color="auto" w:fill="E2E3E4"/>
          </w:tcPr>
          <w:p>
            <w:pPr>
              <w:spacing w:after="0"/>
              <w:rPr>
                <w:sz w:val="20"/>
                <w:szCs w:val="20"/>
                <w:color w:val="auto"/>
              </w:rPr>
            </w:pPr>
            <w:r>
              <w:rPr>
                <w:rFonts w:ascii="Times New Roman" w:cs="Times New Roman" w:eastAsia="Times New Roman" w:hAnsi="Times New Roman"/>
                <w:sz w:val="19"/>
                <w:szCs w:val="19"/>
                <w:color w:val="231F20"/>
              </w:rPr>
              <w:t>Foreign tax effects</w:t>
            </w:r>
          </w:p>
        </w:tc>
        <w:tc>
          <w:tcPr>
            <w:tcW w:w="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06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060" w:type="dxa"/>
            <w:vAlign w:val="bottom"/>
            <w:shd w:val="clear" w:color="auto" w:fill="E2E3E4"/>
          </w:tcPr>
          <w:p>
            <w:pPr>
              <w:spacing w:after="0"/>
              <w:rPr>
                <w:sz w:val="20"/>
                <w:szCs w:val="20"/>
                <w:color w:val="auto"/>
              </w:rPr>
            </w:pPr>
          </w:p>
        </w:tc>
        <w:tc>
          <w:tcPr>
            <w:tcW w:w="160" w:type="dxa"/>
            <w:vAlign w:val="bottom"/>
            <w:shd w:val="clear" w:color="auto" w:fill="E2E3E4"/>
          </w:tcPr>
          <w:p>
            <w:pPr>
              <w:spacing w:after="0"/>
              <w:rPr>
                <w:sz w:val="20"/>
                <w:szCs w:val="20"/>
                <w:color w:val="auto"/>
              </w:rPr>
            </w:pPr>
          </w:p>
        </w:tc>
      </w:tr>
      <w:tr>
        <w:trPr>
          <w:trHeight w:val="217"/>
        </w:trPr>
        <w:tc>
          <w:tcPr>
            <w:tcW w:w="100" w:type="dxa"/>
            <w:vAlign w:val="bottom"/>
          </w:tcPr>
          <w:p>
            <w:pPr>
              <w:spacing w:after="0"/>
              <w:rPr>
                <w:sz w:val="18"/>
                <w:szCs w:val="18"/>
                <w:color w:val="auto"/>
              </w:rPr>
            </w:pPr>
          </w:p>
        </w:tc>
        <w:tc>
          <w:tcPr>
            <w:tcW w:w="5500" w:type="dxa"/>
            <w:vAlign w:val="bottom"/>
            <w:gridSpan w:val="4"/>
          </w:tcPr>
          <w:p>
            <w:pPr>
              <w:spacing w:after="0" w:line="216" w:lineRule="exact"/>
              <w:rPr>
                <w:sz w:val="20"/>
                <w:szCs w:val="20"/>
                <w:color w:val="auto"/>
              </w:rPr>
            </w:pPr>
            <w:r>
              <w:rPr>
                <w:rFonts w:ascii="Times New Roman" w:cs="Times New Roman" w:eastAsia="Times New Roman" w:hAnsi="Times New Roman"/>
                <w:sz w:val="19"/>
                <w:szCs w:val="19"/>
                <w:color w:val="231F20"/>
              </w:rPr>
              <w:t>United States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Borders>
              <w:top w:val="single" w:sz="8" w:color="231F20"/>
            </w:tcBorders>
          </w:tcPr>
          <w:p>
            <w:pPr>
              <w:spacing w:after="0" w:line="20" w:lineRule="exact"/>
              <w:rPr>
                <w:sz w:val="1"/>
                <w:szCs w:val="1"/>
                <w:color w:val="auto"/>
              </w:rPr>
            </w:pPr>
          </w:p>
        </w:tc>
        <w:tc>
          <w:tcPr>
            <w:tcW w:w="760" w:type="dxa"/>
            <w:vAlign w:val="bottom"/>
            <w:tcBorders>
              <w:top w:val="single" w:sz="8" w:color="231F20"/>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100" w:type="dxa"/>
            <w:vAlign w:val="bottom"/>
            <w:shd w:val="clear" w:color="auto" w:fill="E2E3E4"/>
          </w:tcPr>
          <w:p>
            <w:pPr>
              <w:spacing w:after="0"/>
              <w:rPr>
                <w:sz w:val="18"/>
                <w:szCs w:val="18"/>
                <w:color w:val="auto"/>
              </w:rPr>
            </w:pPr>
          </w:p>
        </w:tc>
        <w:tc>
          <w:tcPr>
            <w:tcW w:w="5500" w:type="dxa"/>
            <w:vAlign w:val="bottom"/>
            <w:gridSpan w:val="4"/>
            <w:shd w:val="clear" w:color="auto" w:fill="E2E3E4"/>
          </w:tcPr>
          <w:p>
            <w:pPr>
              <w:ind w:left="100"/>
              <w:spacing w:after="0"/>
              <w:rPr>
                <w:sz w:val="20"/>
                <w:szCs w:val="20"/>
                <w:color w:val="auto"/>
              </w:rPr>
            </w:pPr>
            <w:r>
              <w:rPr>
                <w:rFonts w:ascii="Times New Roman" w:cs="Times New Roman" w:eastAsia="Times New Roman" w:hAnsi="Times New Roman"/>
                <w:sz w:val="19"/>
                <w:szCs w:val="19"/>
                <w:color w:val="231F20"/>
              </w:rPr>
              <w:t>Statutory tax rate difference between U.S. federal and Singapore</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(5,078</w:t>
            </w:r>
          </w:p>
        </w:tc>
        <w:tc>
          <w:tcPr>
            <w:tcW w:w="160" w:type="dxa"/>
            <w:vAlign w:val="bottom"/>
            <w:shd w:val="clear" w:color="auto" w:fill="E2E3E4"/>
          </w:tcPr>
          <w:p>
            <w:pPr>
              <w:jc w:val="right"/>
              <w:ind w:right="19"/>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80" w:type="dxa"/>
            <w:vAlign w:val="bottom"/>
            <w:shd w:val="clear" w:color="auto" w:fill="E2E3E4"/>
          </w:tcPr>
          <w:p>
            <w:pPr>
              <w:spacing w:after="0"/>
              <w:rPr>
                <w:sz w:val="18"/>
                <w:szCs w:val="18"/>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160" w:type="dxa"/>
            <w:vAlign w:val="bottom"/>
            <w:shd w:val="clear" w:color="auto" w:fill="E2E3E4"/>
          </w:tcPr>
          <w:p>
            <w:pPr>
              <w:spacing w:after="0"/>
              <w:rPr>
                <w:sz w:val="18"/>
                <w:szCs w:val="18"/>
                <w:color w:val="auto"/>
              </w:rPr>
            </w:pPr>
          </w:p>
        </w:tc>
      </w:tr>
      <w:tr>
        <w:trPr>
          <w:trHeight w:val="235"/>
        </w:trPr>
        <w:tc>
          <w:tcPr>
            <w:tcW w:w="100" w:type="dxa"/>
            <w:vAlign w:val="bottom"/>
          </w:tcPr>
          <w:p>
            <w:pPr>
              <w:spacing w:after="0"/>
              <w:rPr>
                <w:sz w:val="20"/>
                <w:szCs w:val="20"/>
                <w:color w:val="auto"/>
              </w:rPr>
            </w:pPr>
          </w:p>
        </w:tc>
        <w:tc>
          <w:tcPr>
            <w:tcW w:w="550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231F20"/>
              </w:rPr>
              <w:t>Tax Credits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100" w:type="dxa"/>
            <w:vAlign w:val="bottom"/>
            <w:shd w:val="clear" w:color="auto" w:fill="E2E3E4"/>
          </w:tcPr>
          <w:p>
            <w:pPr>
              <w:spacing w:after="0"/>
              <w:rPr>
                <w:sz w:val="20"/>
                <w:szCs w:val="20"/>
                <w:color w:val="auto"/>
              </w:rPr>
            </w:pPr>
          </w:p>
        </w:tc>
        <w:tc>
          <w:tcPr>
            <w:tcW w:w="5500" w:type="dxa"/>
            <w:vAlign w:val="bottom"/>
            <w:gridSpan w:val="4"/>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Research and development tax credits</w:t>
            </w:r>
          </w:p>
        </w:tc>
        <w:tc>
          <w:tcPr>
            <w:tcW w:w="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(4,962</w:t>
            </w:r>
          </w:p>
        </w:tc>
        <w:tc>
          <w:tcPr>
            <w:tcW w:w="160" w:type="dxa"/>
            <w:vAlign w:val="bottom"/>
            <w:shd w:val="clear" w:color="auto" w:fill="E2E3E4"/>
          </w:tcPr>
          <w:p>
            <w:pPr>
              <w:jc w:val="right"/>
              <w:ind w:right="19"/>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8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160" w:type="dxa"/>
            <w:vAlign w:val="bottom"/>
            <w:shd w:val="clear" w:color="auto" w:fill="E2E3E4"/>
          </w:tcPr>
          <w:p>
            <w:pPr>
              <w:spacing w:after="0"/>
              <w:rPr>
                <w:sz w:val="20"/>
                <w:szCs w:val="20"/>
                <w:color w:val="auto"/>
              </w:rPr>
            </w:pPr>
          </w:p>
        </w:tc>
      </w:tr>
      <w:tr>
        <w:trPr>
          <w:trHeight w:val="237"/>
        </w:trPr>
        <w:tc>
          <w:tcPr>
            <w:tcW w:w="100" w:type="dxa"/>
            <w:vAlign w:val="bottom"/>
          </w:tcPr>
          <w:p>
            <w:pPr>
              <w:spacing w:after="0"/>
              <w:rPr>
                <w:sz w:val="20"/>
                <w:szCs w:val="20"/>
                <w:color w:val="auto"/>
              </w:rPr>
            </w:pPr>
          </w:p>
        </w:tc>
        <w:tc>
          <w:tcPr>
            <w:tcW w:w="5500" w:type="dxa"/>
            <w:vAlign w:val="bottom"/>
            <w:gridSpan w:val="4"/>
          </w:tcPr>
          <w:p>
            <w:pPr>
              <w:ind w:left="200"/>
              <w:spacing w:after="0"/>
              <w:rPr>
                <w:sz w:val="20"/>
                <w:szCs w:val="20"/>
                <w:color w:val="auto"/>
              </w:rPr>
            </w:pPr>
            <w:r>
              <w:rPr>
                <w:rFonts w:ascii="Times New Roman" w:cs="Times New Roman" w:eastAsia="Times New Roman" w:hAnsi="Times New Roman"/>
                <w:sz w:val="19"/>
                <w:szCs w:val="19"/>
                <w:color w:val="231F20"/>
              </w:rPr>
              <w:t>Orphan drug credit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(3,675</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231F20"/>
                <w:highlight w:val="white"/>
                <w:w w:val="74"/>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w:t>
            </w:r>
          </w:p>
        </w:tc>
        <w:tc>
          <w:tcPr>
            <w:tcW w:w="160" w:type="dxa"/>
            <w:vAlign w:val="bottom"/>
          </w:tcPr>
          <w:p>
            <w:pPr>
              <w:spacing w:after="0"/>
              <w:rPr>
                <w:sz w:val="20"/>
                <w:szCs w:val="20"/>
                <w:color w:val="auto"/>
              </w:rPr>
            </w:pPr>
          </w:p>
        </w:tc>
      </w:tr>
      <w:tr>
        <w:trPr>
          <w:trHeight w:val="235"/>
        </w:trPr>
        <w:tc>
          <w:tcPr>
            <w:tcW w:w="100" w:type="dxa"/>
            <w:vAlign w:val="bottom"/>
            <w:shd w:val="clear" w:color="auto" w:fill="E2E3E4"/>
          </w:tcPr>
          <w:p>
            <w:pPr>
              <w:spacing w:after="0"/>
              <w:rPr>
                <w:sz w:val="20"/>
                <w:szCs w:val="20"/>
                <w:color w:val="auto"/>
              </w:rPr>
            </w:pPr>
          </w:p>
        </w:tc>
        <w:tc>
          <w:tcPr>
            <w:tcW w:w="5500" w:type="dxa"/>
            <w:vAlign w:val="bottom"/>
            <w:gridSpan w:val="4"/>
            <w:shd w:val="clear" w:color="auto" w:fill="E2E3E4"/>
          </w:tcPr>
          <w:p>
            <w:pPr>
              <w:ind w:left="100"/>
              <w:spacing w:after="0"/>
              <w:rPr>
                <w:sz w:val="20"/>
                <w:szCs w:val="20"/>
                <w:color w:val="auto"/>
              </w:rPr>
            </w:pPr>
            <w:r>
              <w:rPr>
                <w:rFonts w:ascii="Times New Roman" w:cs="Times New Roman" w:eastAsia="Times New Roman" w:hAnsi="Times New Roman"/>
                <w:sz w:val="19"/>
                <w:szCs w:val="19"/>
                <w:color w:val="231F20"/>
              </w:rPr>
              <w:t>Change in valuation allowances</w:t>
            </w:r>
          </w:p>
        </w:tc>
        <w:tc>
          <w:tcPr>
            <w:tcW w:w="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32,422</w:t>
            </w:r>
          </w:p>
        </w:tc>
        <w:tc>
          <w:tcPr>
            <w:tcW w:w="16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(15.9</w:t>
            </w:r>
          </w:p>
        </w:tc>
        <w:tc>
          <w:tcPr>
            <w:tcW w:w="1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shd w:val="clear" w:color="auto" w:fill="E2E3E4"/>
              </w:rPr>
              <w:t>)</w:t>
            </w:r>
          </w:p>
        </w:tc>
      </w:tr>
      <w:tr>
        <w:trPr>
          <w:trHeight w:val="237"/>
        </w:trPr>
        <w:tc>
          <w:tcPr>
            <w:tcW w:w="100" w:type="dxa"/>
            <w:vAlign w:val="bottom"/>
          </w:tcPr>
          <w:p>
            <w:pPr>
              <w:spacing w:after="0"/>
              <w:rPr>
                <w:sz w:val="20"/>
                <w:szCs w:val="20"/>
                <w:color w:val="auto"/>
              </w:rPr>
            </w:pPr>
          </w:p>
        </w:tc>
        <w:tc>
          <w:tcPr>
            <w:tcW w:w="550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231F20"/>
              </w:rPr>
              <w:t>Nontaxable or nondeductible items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100" w:type="dxa"/>
            <w:vAlign w:val="bottom"/>
            <w:shd w:val="clear" w:color="auto" w:fill="E2E3E4"/>
          </w:tcPr>
          <w:p>
            <w:pPr>
              <w:spacing w:after="0"/>
              <w:rPr>
                <w:sz w:val="20"/>
                <w:szCs w:val="20"/>
                <w:color w:val="auto"/>
              </w:rPr>
            </w:pPr>
          </w:p>
        </w:tc>
        <w:tc>
          <w:tcPr>
            <w:tcW w:w="5500" w:type="dxa"/>
            <w:vAlign w:val="bottom"/>
            <w:gridSpan w:val="4"/>
            <w:shd w:val="clear" w:color="auto" w:fill="E2E3E4"/>
          </w:tcPr>
          <w:p>
            <w:pPr>
              <w:ind w:left="200"/>
              <w:spacing w:after="0"/>
              <w:rPr>
                <w:sz w:val="20"/>
                <w:szCs w:val="20"/>
                <w:color w:val="auto"/>
              </w:rPr>
            </w:pPr>
            <w:r>
              <w:rPr>
                <w:rFonts w:ascii="Times New Roman" w:cs="Times New Roman" w:eastAsia="Times New Roman" w:hAnsi="Times New Roman"/>
                <w:sz w:val="19"/>
                <w:szCs w:val="19"/>
                <w:color w:val="231F20"/>
              </w:rPr>
              <w:t>Nondeductible executive compensation</w:t>
            </w:r>
          </w:p>
        </w:tc>
        <w:tc>
          <w:tcPr>
            <w:tcW w:w="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2,700</w:t>
            </w:r>
          </w:p>
        </w:tc>
        <w:tc>
          <w:tcPr>
            <w:tcW w:w="16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(1.3</w:t>
            </w:r>
          </w:p>
        </w:tc>
        <w:tc>
          <w:tcPr>
            <w:tcW w:w="1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shd w:val="clear" w:color="auto" w:fill="E2E3E4"/>
              </w:rPr>
              <w:t>)</w:t>
            </w:r>
          </w:p>
        </w:tc>
      </w:tr>
      <w:tr>
        <w:trPr>
          <w:trHeight w:val="235"/>
        </w:trPr>
        <w:tc>
          <w:tcPr>
            <w:tcW w:w="100" w:type="dxa"/>
            <w:vAlign w:val="bottom"/>
          </w:tcPr>
          <w:p>
            <w:pPr>
              <w:spacing w:after="0"/>
              <w:rPr>
                <w:sz w:val="20"/>
                <w:szCs w:val="20"/>
                <w:color w:val="auto"/>
              </w:rPr>
            </w:pPr>
          </w:p>
        </w:tc>
        <w:tc>
          <w:tcPr>
            <w:tcW w:w="5500" w:type="dxa"/>
            <w:vAlign w:val="bottom"/>
            <w:gridSpan w:val="4"/>
          </w:tcPr>
          <w:p>
            <w:pPr>
              <w:ind w:left="200"/>
              <w:spacing w:after="0"/>
              <w:rPr>
                <w:sz w:val="20"/>
                <w:szCs w:val="20"/>
                <w:color w:val="auto"/>
              </w:rPr>
            </w:pPr>
            <w:r>
              <w:rPr>
                <w:rFonts w:ascii="Times New Roman" w:cs="Times New Roman" w:eastAsia="Times New Roman" w:hAnsi="Times New Roman"/>
                <w:sz w:val="19"/>
                <w:szCs w:val="19"/>
                <w:color w:val="231F20"/>
              </w:rPr>
              <w:t>Stock compensation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9"/>
                <w:szCs w:val="19"/>
                <w:color w:val="231F20"/>
              </w:rPr>
              <w:t>(1,945 )</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160" w:type="dxa"/>
            <w:vAlign w:val="bottom"/>
          </w:tcPr>
          <w:p>
            <w:pPr>
              <w:spacing w:after="0"/>
              <w:rPr>
                <w:sz w:val="20"/>
                <w:szCs w:val="20"/>
                <w:color w:val="auto"/>
              </w:rPr>
            </w:pPr>
          </w:p>
        </w:tc>
      </w:tr>
      <w:tr>
        <w:trPr>
          <w:trHeight w:val="237"/>
        </w:trPr>
        <w:tc>
          <w:tcPr>
            <w:tcW w:w="100" w:type="dxa"/>
            <w:vAlign w:val="bottom"/>
            <w:shd w:val="clear" w:color="auto" w:fill="E2E3E4"/>
          </w:tcPr>
          <w:p>
            <w:pPr>
              <w:spacing w:after="0"/>
              <w:rPr>
                <w:sz w:val="20"/>
                <w:szCs w:val="20"/>
                <w:color w:val="auto"/>
              </w:rPr>
            </w:pPr>
          </w:p>
        </w:tc>
        <w:tc>
          <w:tcPr>
            <w:tcW w:w="5500" w:type="dxa"/>
            <w:vAlign w:val="bottom"/>
            <w:gridSpan w:val="4"/>
            <w:shd w:val="clear" w:color="auto" w:fill="E2E3E4"/>
          </w:tcPr>
          <w:p>
            <w:pPr>
              <w:ind w:left="100"/>
              <w:spacing w:after="0" w:line="238" w:lineRule="exact"/>
              <w:rPr>
                <w:sz w:val="20"/>
                <w:szCs w:val="20"/>
                <w:color w:val="auto"/>
              </w:rPr>
            </w:pPr>
            <w:r>
              <w:rPr>
                <w:rFonts w:ascii="Times New Roman" w:cs="Times New Roman" w:eastAsia="Times New Roman" w:hAnsi="Times New Roman"/>
                <w:sz w:val="19"/>
                <w:szCs w:val="19"/>
                <w:color w:val="231F20"/>
              </w:rPr>
              <w:t>Other</w:t>
            </w:r>
            <w:r>
              <w:rPr>
                <w:rFonts w:ascii="Times New Roman" w:cs="Times New Roman" w:eastAsia="Times New Roman" w:hAnsi="Times New Roman"/>
                <w:sz w:val="25"/>
                <w:szCs w:val="25"/>
                <w:color w:val="231F20"/>
                <w:vertAlign w:val="superscript"/>
              </w:rPr>
              <w:t>1</w:t>
            </w:r>
          </w:p>
        </w:tc>
        <w:tc>
          <w:tcPr>
            <w:tcW w:w="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2,298</w:t>
            </w:r>
          </w:p>
        </w:tc>
        <w:tc>
          <w:tcPr>
            <w:tcW w:w="16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1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shd w:val="clear" w:color="auto" w:fill="E2E3E4"/>
              </w:rPr>
              <w:t>)</w:t>
            </w:r>
          </w:p>
        </w:tc>
      </w:tr>
      <w:tr>
        <w:trPr>
          <w:trHeight w:val="217"/>
        </w:trPr>
        <w:tc>
          <w:tcPr>
            <w:tcW w:w="100" w:type="dxa"/>
            <w:vAlign w:val="bottom"/>
          </w:tcPr>
          <w:p>
            <w:pPr>
              <w:spacing w:after="0"/>
              <w:rPr>
                <w:sz w:val="18"/>
                <w:szCs w:val="18"/>
                <w:color w:val="auto"/>
              </w:rPr>
            </w:pPr>
          </w:p>
        </w:tc>
        <w:tc>
          <w:tcPr>
            <w:tcW w:w="5500" w:type="dxa"/>
            <w:vAlign w:val="bottom"/>
            <w:gridSpan w:val="4"/>
          </w:tcPr>
          <w:p>
            <w:pPr>
              <w:spacing w:after="0" w:line="216" w:lineRule="exact"/>
              <w:rPr>
                <w:sz w:val="20"/>
                <w:szCs w:val="20"/>
                <w:color w:val="auto"/>
              </w:rPr>
            </w:pPr>
            <w:r>
              <w:rPr>
                <w:rFonts w:ascii="Times New Roman" w:cs="Times New Roman" w:eastAsia="Times New Roman" w:hAnsi="Times New Roman"/>
                <w:sz w:val="19"/>
                <w:szCs w:val="19"/>
                <w:color w:val="231F20"/>
              </w:rPr>
              <w:t>UK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Borders>
              <w:top w:val="single" w:sz="8" w:color="231F20"/>
            </w:tcBorders>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100" w:type="dxa"/>
            <w:vAlign w:val="bottom"/>
            <w:shd w:val="clear" w:color="auto" w:fill="E2E3E4"/>
          </w:tcPr>
          <w:p>
            <w:pPr>
              <w:spacing w:after="0"/>
              <w:rPr>
                <w:sz w:val="18"/>
                <w:szCs w:val="18"/>
                <w:color w:val="auto"/>
              </w:rPr>
            </w:pPr>
          </w:p>
        </w:tc>
        <w:tc>
          <w:tcPr>
            <w:tcW w:w="5500" w:type="dxa"/>
            <w:vAlign w:val="bottom"/>
            <w:gridSpan w:val="4"/>
            <w:shd w:val="clear" w:color="auto" w:fill="E2E3E4"/>
          </w:tcPr>
          <w:p>
            <w:pPr>
              <w:ind w:left="100"/>
              <w:spacing w:after="0"/>
              <w:rPr>
                <w:sz w:val="20"/>
                <w:szCs w:val="20"/>
                <w:color w:val="auto"/>
              </w:rPr>
            </w:pPr>
            <w:r>
              <w:rPr>
                <w:rFonts w:ascii="Times New Roman" w:cs="Times New Roman" w:eastAsia="Times New Roman" w:hAnsi="Times New Roman"/>
                <w:sz w:val="19"/>
                <w:szCs w:val="19"/>
                <w:color w:val="231F20"/>
              </w:rPr>
              <w:t>Statutory tax rate difference between the United Kingdom and</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1060" w:type="dxa"/>
            <w:vAlign w:val="bottom"/>
            <w:shd w:val="clear" w:color="auto" w:fill="E2E3E4"/>
          </w:tcPr>
          <w:p>
            <w:pPr>
              <w:spacing w:after="0"/>
              <w:rPr>
                <w:sz w:val="18"/>
                <w:szCs w:val="18"/>
                <w:color w:val="auto"/>
              </w:rPr>
            </w:pPr>
          </w:p>
        </w:tc>
        <w:tc>
          <w:tcPr>
            <w:tcW w:w="16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060" w:type="dxa"/>
            <w:vAlign w:val="bottom"/>
            <w:shd w:val="clear" w:color="auto" w:fill="E2E3E4"/>
          </w:tcPr>
          <w:p>
            <w:pPr>
              <w:spacing w:after="0"/>
              <w:rPr>
                <w:sz w:val="18"/>
                <w:szCs w:val="18"/>
                <w:color w:val="auto"/>
              </w:rPr>
            </w:pPr>
          </w:p>
        </w:tc>
        <w:tc>
          <w:tcPr>
            <w:tcW w:w="160" w:type="dxa"/>
            <w:vAlign w:val="bottom"/>
            <w:shd w:val="clear" w:color="auto" w:fill="E2E3E4"/>
          </w:tcPr>
          <w:p>
            <w:pPr>
              <w:spacing w:after="0"/>
              <w:rPr>
                <w:sz w:val="18"/>
                <w:szCs w:val="18"/>
                <w:color w:val="auto"/>
              </w:rPr>
            </w:pPr>
          </w:p>
        </w:tc>
      </w:tr>
      <w:tr>
        <w:trPr>
          <w:trHeight w:val="221"/>
        </w:trPr>
        <w:tc>
          <w:tcPr>
            <w:tcW w:w="100" w:type="dxa"/>
            <w:vAlign w:val="bottom"/>
            <w:shd w:val="clear" w:color="auto" w:fill="E2E3E4"/>
          </w:tcPr>
          <w:p>
            <w:pPr>
              <w:spacing w:after="0"/>
              <w:rPr>
                <w:sz w:val="19"/>
                <w:szCs w:val="19"/>
                <w:color w:val="auto"/>
              </w:rPr>
            </w:pPr>
          </w:p>
        </w:tc>
        <w:tc>
          <w:tcPr>
            <w:tcW w:w="5500" w:type="dxa"/>
            <w:vAlign w:val="bottom"/>
            <w:gridSpan w:val="4"/>
            <w:shd w:val="clear" w:color="auto" w:fill="E2E3E4"/>
          </w:tcPr>
          <w:p>
            <w:pPr>
              <w:ind w:left="100"/>
              <w:spacing w:after="0"/>
              <w:rPr>
                <w:sz w:val="20"/>
                <w:szCs w:val="20"/>
                <w:color w:val="auto"/>
              </w:rPr>
            </w:pPr>
            <w:r>
              <w:rPr>
                <w:rFonts w:ascii="Times New Roman" w:cs="Times New Roman" w:eastAsia="Times New Roman" w:hAnsi="Times New Roman"/>
                <w:sz w:val="19"/>
                <w:szCs w:val="19"/>
                <w:color w:val="231F20"/>
              </w:rPr>
              <w:t>Singapore</w:t>
            </w:r>
          </w:p>
        </w:tc>
        <w:tc>
          <w:tcPr>
            <w:tcW w:w="120" w:type="dxa"/>
            <w:vAlign w:val="bottom"/>
            <w:shd w:val="clear" w:color="auto" w:fill="E2E3E4"/>
          </w:tcPr>
          <w:p>
            <w:pPr>
              <w:spacing w:after="0"/>
              <w:rPr>
                <w:sz w:val="19"/>
                <w:szCs w:val="19"/>
                <w:color w:val="auto"/>
              </w:rPr>
            </w:pPr>
          </w:p>
        </w:tc>
        <w:tc>
          <w:tcPr>
            <w:tcW w:w="20" w:type="dxa"/>
            <w:vAlign w:val="bottom"/>
            <w:shd w:val="clear" w:color="auto" w:fill="E2E3E4"/>
          </w:tcPr>
          <w:p>
            <w:pPr>
              <w:spacing w:after="0"/>
              <w:rPr>
                <w:sz w:val="19"/>
                <w:szCs w:val="19"/>
                <w:color w:val="auto"/>
              </w:rPr>
            </w:pPr>
          </w:p>
        </w:tc>
        <w:tc>
          <w:tcPr>
            <w:tcW w:w="120" w:type="dxa"/>
            <w:vAlign w:val="bottom"/>
            <w:shd w:val="clear" w:color="auto" w:fill="E2E3E4"/>
          </w:tcPr>
          <w:p>
            <w:pPr>
              <w:spacing w:after="0"/>
              <w:rPr>
                <w:sz w:val="19"/>
                <w:szCs w:val="19"/>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(5,409</w:t>
            </w:r>
          </w:p>
        </w:tc>
        <w:tc>
          <w:tcPr>
            <w:tcW w:w="160" w:type="dxa"/>
            <w:vAlign w:val="bottom"/>
            <w:shd w:val="clear" w:color="auto" w:fill="E2E3E4"/>
          </w:tcPr>
          <w:p>
            <w:pPr>
              <w:jc w:val="right"/>
              <w:ind w:right="19"/>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80" w:type="dxa"/>
            <w:vAlign w:val="bottom"/>
            <w:shd w:val="clear" w:color="auto" w:fill="E2E3E4"/>
          </w:tcPr>
          <w:p>
            <w:pPr>
              <w:spacing w:after="0"/>
              <w:rPr>
                <w:sz w:val="19"/>
                <w:szCs w:val="19"/>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2.6</w:t>
            </w:r>
          </w:p>
        </w:tc>
        <w:tc>
          <w:tcPr>
            <w:tcW w:w="160" w:type="dxa"/>
            <w:vAlign w:val="bottom"/>
            <w:shd w:val="clear" w:color="auto" w:fill="E2E3E4"/>
          </w:tcPr>
          <w:p>
            <w:pPr>
              <w:spacing w:after="0"/>
              <w:rPr>
                <w:sz w:val="19"/>
                <w:szCs w:val="19"/>
                <w:color w:val="auto"/>
              </w:rPr>
            </w:pPr>
          </w:p>
        </w:tc>
      </w:tr>
      <w:tr>
        <w:trPr>
          <w:trHeight w:val="237"/>
        </w:trPr>
        <w:tc>
          <w:tcPr>
            <w:tcW w:w="100" w:type="dxa"/>
            <w:vAlign w:val="bottom"/>
          </w:tcPr>
          <w:p>
            <w:pPr>
              <w:spacing w:after="0"/>
              <w:rPr>
                <w:sz w:val="20"/>
                <w:szCs w:val="20"/>
                <w:color w:val="auto"/>
              </w:rPr>
            </w:pPr>
          </w:p>
        </w:tc>
        <w:tc>
          <w:tcPr>
            <w:tcW w:w="550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231F20"/>
              </w:rPr>
              <w:t>Research and development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9"/>
                <w:szCs w:val="19"/>
                <w:color w:val="231F20"/>
              </w:rPr>
              <w:t>(1,836 )</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160" w:type="dxa"/>
            <w:vAlign w:val="bottom"/>
          </w:tcPr>
          <w:p>
            <w:pPr>
              <w:spacing w:after="0"/>
              <w:rPr>
                <w:sz w:val="20"/>
                <w:szCs w:val="20"/>
                <w:color w:val="auto"/>
              </w:rPr>
            </w:pPr>
          </w:p>
        </w:tc>
      </w:tr>
      <w:tr>
        <w:trPr>
          <w:trHeight w:val="235"/>
        </w:trPr>
        <w:tc>
          <w:tcPr>
            <w:tcW w:w="100" w:type="dxa"/>
            <w:vAlign w:val="bottom"/>
            <w:shd w:val="clear" w:color="auto" w:fill="E2E3E4"/>
          </w:tcPr>
          <w:p>
            <w:pPr>
              <w:spacing w:after="0"/>
              <w:rPr>
                <w:sz w:val="20"/>
                <w:szCs w:val="20"/>
                <w:color w:val="auto"/>
              </w:rPr>
            </w:pPr>
          </w:p>
        </w:tc>
        <w:tc>
          <w:tcPr>
            <w:tcW w:w="5500" w:type="dxa"/>
            <w:vAlign w:val="bottom"/>
            <w:gridSpan w:val="4"/>
            <w:shd w:val="clear" w:color="auto" w:fill="E2E3E4"/>
          </w:tcPr>
          <w:p>
            <w:pPr>
              <w:ind w:left="100"/>
              <w:spacing w:after="0"/>
              <w:rPr>
                <w:sz w:val="20"/>
                <w:szCs w:val="20"/>
                <w:color w:val="auto"/>
              </w:rPr>
            </w:pPr>
            <w:r>
              <w:rPr>
                <w:rFonts w:ascii="Times New Roman" w:cs="Times New Roman" w:eastAsia="Times New Roman" w:hAnsi="Times New Roman"/>
                <w:sz w:val="19"/>
                <w:szCs w:val="19"/>
                <w:color w:val="231F20"/>
              </w:rPr>
              <w:t>Changes in valuation allowances</w:t>
            </w:r>
          </w:p>
        </w:tc>
        <w:tc>
          <w:tcPr>
            <w:tcW w:w="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18,742</w:t>
            </w:r>
          </w:p>
        </w:tc>
        <w:tc>
          <w:tcPr>
            <w:tcW w:w="160" w:type="dxa"/>
            <w:vAlign w:val="bottom"/>
            <w:shd w:val="clear" w:color="auto" w:fill="E2E3E4"/>
          </w:tcPr>
          <w:p>
            <w:pPr>
              <w:spacing w:after="0"/>
              <w:rPr>
                <w:sz w:val="20"/>
                <w:szCs w:val="20"/>
                <w:color w:val="auto"/>
              </w:rPr>
            </w:pPr>
          </w:p>
        </w:tc>
        <w:tc>
          <w:tcPr>
            <w:tcW w:w="8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(9.2</w:t>
            </w:r>
          </w:p>
        </w:tc>
        <w:tc>
          <w:tcPr>
            <w:tcW w:w="160" w:type="dxa"/>
            <w:vAlign w:val="bottom"/>
            <w:shd w:val="clear" w:color="auto" w:fill="E2E3E4"/>
          </w:tcPr>
          <w:p>
            <w:pPr>
              <w:spacing w:after="0"/>
              <w:rPr>
                <w:sz w:val="20"/>
                <w:szCs w:val="20"/>
                <w:color w:val="auto"/>
              </w:rPr>
            </w:pPr>
            <w:r>
              <w:rPr>
                <w:rFonts w:ascii="Times New Roman" w:cs="Times New Roman" w:eastAsia="Times New Roman" w:hAnsi="Times New Roman"/>
                <w:sz w:val="19"/>
                <w:szCs w:val="19"/>
                <w:color w:val="231F20"/>
                <w:shd w:val="clear" w:color="auto" w:fill="E2E3E4"/>
              </w:rPr>
              <w:t>)</w:t>
            </w:r>
          </w:p>
        </w:tc>
      </w:tr>
      <w:tr>
        <w:trPr>
          <w:trHeight w:val="237"/>
        </w:trPr>
        <w:tc>
          <w:tcPr>
            <w:tcW w:w="100" w:type="dxa"/>
            <w:vAlign w:val="bottom"/>
          </w:tcPr>
          <w:p>
            <w:pPr>
              <w:spacing w:after="0"/>
              <w:rPr>
                <w:sz w:val="20"/>
                <w:szCs w:val="20"/>
                <w:color w:val="auto"/>
              </w:rPr>
            </w:pPr>
          </w:p>
        </w:tc>
        <w:tc>
          <w:tcPr>
            <w:tcW w:w="550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231F20"/>
              </w:rPr>
              <w:t>Other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60" w:type="dxa"/>
            <w:vAlign w:val="bottom"/>
          </w:tcPr>
          <w:p>
            <w:pPr>
              <w:spacing w:after="0"/>
              <w:rPr>
                <w:sz w:val="20"/>
                <w:szCs w:val="20"/>
                <w:color w:val="auto"/>
              </w:rPr>
            </w:pPr>
          </w:p>
        </w:tc>
      </w:tr>
      <w:tr>
        <w:trPr>
          <w:trHeight w:val="217"/>
        </w:trPr>
        <w:tc>
          <w:tcPr>
            <w:tcW w:w="100" w:type="dxa"/>
            <w:vAlign w:val="bottom"/>
            <w:shd w:val="clear" w:color="auto" w:fill="E2E3E4"/>
          </w:tcPr>
          <w:p>
            <w:pPr>
              <w:spacing w:after="0"/>
              <w:rPr>
                <w:sz w:val="18"/>
                <w:szCs w:val="18"/>
                <w:color w:val="auto"/>
              </w:rPr>
            </w:pPr>
          </w:p>
        </w:tc>
        <w:tc>
          <w:tcPr>
            <w:tcW w:w="5500" w:type="dxa"/>
            <w:vAlign w:val="bottom"/>
            <w:gridSpan w:val="4"/>
            <w:shd w:val="clear" w:color="auto" w:fill="E2E3E4"/>
          </w:tcPr>
          <w:p>
            <w:pPr>
              <w:spacing w:after="0" w:line="216" w:lineRule="exact"/>
              <w:rPr>
                <w:sz w:val="20"/>
                <w:szCs w:val="20"/>
                <w:color w:val="auto"/>
              </w:rPr>
            </w:pPr>
            <w:r>
              <w:rPr>
                <w:rFonts w:ascii="Times New Roman" w:cs="Times New Roman" w:eastAsia="Times New Roman" w:hAnsi="Times New Roman"/>
                <w:sz w:val="19"/>
                <w:szCs w:val="19"/>
                <w:color w:val="231F20"/>
              </w:rPr>
              <w:t>Other Foreign Jurisdictions</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1060" w:type="dxa"/>
            <w:vAlign w:val="bottom"/>
            <w:shd w:val="clear" w:color="auto" w:fill="E2E3E4"/>
          </w:tcPr>
          <w:p>
            <w:pPr>
              <w:jc w:val="right"/>
              <w:spacing w:after="0" w:line="216" w:lineRule="exact"/>
              <w:rPr>
                <w:sz w:val="20"/>
                <w:szCs w:val="20"/>
                <w:color w:val="auto"/>
              </w:rPr>
            </w:pPr>
            <w:r>
              <w:rPr>
                <w:rFonts w:ascii="Times New Roman" w:cs="Times New Roman" w:eastAsia="Times New Roman" w:hAnsi="Times New Roman"/>
                <w:sz w:val="19"/>
                <w:szCs w:val="19"/>
                <w:color w:val="231F20"/>
              </w:rPr>
              <w:t>(5</w:t>
            </w:r>
          </w:p>
        </w:tc>
        <w:tc>
          <w:tcPr>
            <w:tcW w:w="160" w:type="dxa"/>
            <w:vAlign w:val="bottom"/>
            <w:shd w:val="clear" w:color="auto" w:fill="E2E3E4"/>
          </w:tcPr>
          <w:p>
            <w:pPr>
              <w:jc w:val="right"/>
              <w:ind w:right="19"/>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80" w:type="dxa"/>
            <w:vAlign w:val="bottom"/>
            <w:shd w:val="clear" w:color="auto" w:fill="E2E3E4"/>
          </w:tcPr>
          <w:p>
            <w:pPr>
              <w:spacing w:after="0"/>
              <w:rPr>
                <w:sz w:val="18"/>
                <w:szCs w:val="18"/>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60" w:type="dxa"/>
            <w:vAlign w:val="bottom"/>
            <w:shd w:val="clear" w:color="auto" w:fill="E2E3E4"/>
          </w:tcPr>
          <w:p>
            <w:pPr>
              <w:spacing w:after="0"/>
              <w:rPr>
                <w:sz w:val="18"/>
                <w:szCs w:val="18"/>
                <w:color w:val="auto"/>
              </w:rPr>
            </w:pPr>
          </w:p>
        </w:tc>
      </w:tr>
      <w:tr>
        <w:trPr>
          <w:trHeight w:val="21"/>
        </w:trPr>
        <w:tc>
          <w:tcPr>
            <w:tcW w:w="100" w:type="dxa"/>
            <w:vAlign w:val="bottom"/>
            <w:shd w:val="clear" w:color="auto" w:fill="E2E3E4"/>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3380" w:type="dxa"/>
            <w:vAlign w:val="bottom"/>
            <w:shd w:val="clear" w:color="auto" w:fill="E2E3E4"/>
          </w:tcPr>
          <w:p>
            <w:pPr>
              <w:spacing w:after="0" w:line="20" w:lineRule="exact"/>
              <w:rPr>
                <w:sz w:val="1"/>
                <w:szCs w:val="1"/>
                <w:color w:val="auto"/>
              </w:rPr>
            </w:pPr>
          </w:p>
        </w:tc>
        <w:tc>
          <w:tcPr>
            <w:tcW w:w="120" w:type="dxa"/>
            <w:vAlign w:val="bottom"/>
            <w:shd w:val="clear" w:color="auto" w:fill="E2E3E4"/>
          </w:tcPr>
          <w:p>
            <w:pPr>
              <w:spacing w:after="0" w:line="20" w:lineRule="exact"/>
              <w:rPr>
                <w:sz w:val="1"/>
                <w:szCs w:val="1"/>
                <w:color w:val="auto"/>
              </w:rPr>
            </w:pPr>
          </w:p>
        </w:tc>
        <w:tc>
          <w:tcPr>
            <w:tcW w:w="20" w:type="dxa"/>
            <w:vAlign w:val="bottom"/>
            <w:shd w:val="clear" w:color="auto" w:fill="E2E3E4"/>
          </w:tcPr>
          <w:p>
            <w:pPr>
              <w:spacing w:after="0" w:line="20" w:lineRule="exact"/>
              <w:rPr>
                <w:sz w:val="1"/>
                <w:szCs w:val="1"/>
                <w:color w:val="auto"/>
              </w:rPr>
            </w:pPr>
          </w:p>
        </w:tc>
        <w:tc>
          <w:tcPr>
            <w:tcW w:w="120" w:type="dxa"/>
            <w:vAlign w:val="bottom"/>
            <w:shd w:val="clear" w:color="auto" w:fill="E2E3E4"/>
          </w:tcPr>
          <w:p>
            <w:pPr>
              <w:spacing w:after="0" w:line="20" w:lineRule="exact"/>
              <w:rPr>
                <w:sz w:val="1"/>
                <w:szCs w:val="1"/>
                <w:color w:val="auto"/>
              </w:rPr>
            </w:pPr>
          </w:p>
        </w:tc>
        <w:tc>
          <w:tcPr>
            <w:tcW w:w="1060" w:type="dxa"/>
            <w:vAlign w:val="bottom"/>
            <w:shd w:val="clear" w:color="auto" w:fill="E2E3E4"/>
          </w:tcPr>
          <w:p>
            <w:pPr>
              <w:spacing w:after="0" w:line="20" w:lineRule="exact"/>
              <w:rPr>
                <w:sz w:val="1"/>
                <w:szCs w:val="1"/>
                <w:color w:val="auto"/>
              </w:rPr>
            </w:pPr>
          </w:p>
        </w:tc>
        <w:tc>
          <w:tcPr>
            <w:tcW w:w="160" w:type="dxa"/>
            <w:vAlign w:val="bottom"/>
            <w:shd w:val="clear" w:color="auto" w:fill="E2E3E4"/>
          </w:tcPr>
          <w:p>
            <w:pPr>
              <w:spacing w:after="0" w:line="20" w:lineRule="exact"/>
              <w:rPr>
                <w:sz w:val="1"/>
                <w:szCs w:val="1"/>
                <w:color w:val="auto"/>
              </w:rPr>
            </w:pPr>
          </w:p>
        </w:tc>
        <w:tc>
          <w:tcPr>
            <w:tcW w:w="80" w:type="dxa"/>
            <w:vAlign w:val="bottom"/>
            <w:shd w:val="clear" w:color="auto" w:fill="E2E3E4"/>
          </w:tcPr>
          <w:p>
            <w:pPr>
              <w:spacing w:after="0" w:line="20" w:lineRule="exact"/>
              <w:rPr>
                <w:sz w:val="1"/>
                <w:szCs w:val="1"/>
                <w:color w:val="auto"/>
              </w:rPr>
            </w:pPr>
          </w:p>
        </w:tc>
        <w:tc>
          <w:tcPr>
            <w:tcW w:w="1060" w:type="dxa"/>
            <w:vAlign w:val="bottom"/>
            <w:shd w:val="clear" w:color="auto" w:fill="E2E3E4"/>
          </w:tcPr>
          <w:p>
            <w:pPr>
              <w:spacing w:after="0" w:line="20" w:lineRule="exact"/>
              <w:rPr>
                <w:sz w:val="1"/>
                <w:szCs w:val="1"/>
                <w:color w:val="auto"/>
              </w:rPr>
            </w:pPr>
          </w:p>
        </w:tc>
        <w:tc>
          <w:tcPr>
            <w:tcW w:w="160" w:type="dxa"/>
            <w:vAlign w:val="bottom"/>
            <w:shd w:val="clear" w:color="auto" w:fill="E2E3E4"/>
          </w:tcPr>
          <w:p>
            <w:pPr>
              <w:spacing w:after="0" w:line="20" w:lineRule="exact"/>
              <w:rPr>
                <w:sz w:val="1"/>
                <w:szCs w:val="1"/>
                <w:color w:val="auto"/>
              </w:rPr>
            </w:pPr>
          </w:p>
        </w:tc>
      </w:tr>
      <w:tr>
        <w:trPr>
          <w:trHeight w:val="235"/>
        </w:trPr>
        <w:tc>
          <w:tcPr>
            <w:tcW w:w="5600" w:type="dxa"/>
            <w:vAlign w:val="bottom"/>
            <w:gridSpan w:val="5"/>
          </w:tcPr>
          <w:p>
            <w:pPr>
              <w:spacing w:after="0"/>
              <w:rPr>
                <w:sz w:val="20"/>
                <w:szCs w:val="20"/>
                <w:color w:val="auto"/>
              </w:rPr>
            </w:pPr>
            <w:r>
              <w:rPr>
                <w:rFonts w:ascii="Times New Roman" w:cs="Times New Roman" w:eastAsia="Times New Roman" w:hAnsi="Times New Roman"/>
                <w:sz w:val="19"/>
                <w:szCs w:val="19"/>
                <w:color w:val="231F20"/>
              </w:rPr>
              <w:t>Changes in valuation allowances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231F20"/>
              </w:rPr>
              <w:t>(1.0 )</w:t>
            </w:r>
          </w:p>
        </w:tc>
      </w:tr>
      <w:tr>
        <w:trPr>
          <w:trHeight w:val="237"/>
        </w:trPr>
        <w:tc>
          <w:tcPr>
            <w:tcW w:w="5600" w:type="dxa"/>
            <w:vAlign w:val="bottom"/>
            <w:gridSpan w:val="5"/>
            <w:shd w:val="clear" w:color="auto" w:fill="E2E3E4"/>
          </w:tcPr>
          <w:p>
            <w:pPr>
              <w:spacing w:after="0"/>
              <w:rPr>
                <w:sz w:val="20"/>
                <w:szCs w:val="20"/>
                <w:color w:val="auto"/>
              </w:rPr>
            </w:pPr>
            <w:r>
              <w:rPr>
                <w:rFonts w:ascii="Times New Roman" w:cs="Times New Roman" w:eastAsia="Times New Roman" w:hAnsi="Times New Roman"/>
                <w:sz w:val="19"/>
                <w:szCs w:val="19"/>
                <w:color w:val="231F20"/>
              </w:rPr>
              <w:t>Nontaxable or nondeductible items</w:t>
            </w:r>
          </w:p>
        </w:tc>
        <w:tc>
          <w:tcPr>
            <w:tcW w:w="120" w:type="dxa"/>
            <w:vAlign w:val="bottom"/>
            <w:shd w:val="clear" w:color="auto" w:fill="E2E3E4"/>
          </w:tcPr>
          <w:p>
            <w:pPr>
              <w:spacing w:after="0"/>
              <w:rPr>
                <w:sz w:val="20"/>
                <w:szCs w:val="20"/>
                <w:color w:val="auto"/>
              </w:rPr>
            </w:pPr>
          </w:p>
        </w:tc>
        <w:tc>
          <w:tcPr>
            <w:tcW w:w="20" w:type="dxa"/>
            <w:vAlign w:val="bottom"/>
            <w:shd w:val="clear" w:color="auto" w:fill="E2E3E4"/>
          </w:tcPr>
          <w:p>
            <w:pPr>
              <w:spacing w:after="0"/>
              <w:rPr>
                <w:sz w:val="20"/>
                <w:szCs w:val="20"/>
                <w:color w:val="auto"/>
              </w:rPr>
            </w:pPr>
          </w:p>
        </w:tc>
        <w:tc>
          <w:tcPr>
            <w:tcW w:w="12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(1,042</w:t>
            </w:r>
          </w:p>
        </w:tc>
        <w:tc>
          <w:tcPr>
            <w:tcW w:w="160" w:type="dxa"/>
            <w:vAlign w:val="bottom"/>
            <w:shd w:val="clear" w:color="auto" w:fill="E2E3E4"/>
          </w:tcPr>
          <w:p>
            <w:pPr>
              <w:jc w:val="right"/>
              <w:ind w:right="19"/>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80" w:type="dxa"/>
            <w:vAlign w:val="bottom"/>
            <w:shd w:val="clear" w:color="auto" w:fill="E2E3E4"/>
          </w:tcPr>
          <w:p>
            <w:pPr>
              <w:spacing w:after="0"/>
              <w:rPr>
                <w:sz w:val="20"/>
                <w:szCs w:val="20"/>
                <w:color w:val="auto"/>
              </w:rPr>
            </w:pPr>
          </w:p>
        </w:tc>
        <w:tc>
          <w:tcPr>
            <w:tcW w:w="106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160" w:type="dxa"/>
            <w:vAlign w:val="bottom"/>
            <w:shd w:val="clear" w:color="auto" w:fill="E2E3E4"/>
          </w:tcPr>
          <w:p>
            <w:pPr>
              <w:spacing w:after="0"/>
              <w:rPr>
                <w:sz w:val="20"/>
                <w:szCs w:val="20"/>
                <w:color w:val="auto"/>
              </w:rPr>
            </w:pPr>
          </w:p>
        </w:tc>
      </w:tr>
      <w:tr>
        <w:trPr>
          <w:trHeight w:val="237"/>
        </w:trPr>
        <w:tc>
          <w:tcPr>
            <w:tcW w:w="5600" w:type="dxa"/>
            <w:vAlign w:val="bottom"/>
            <w:gridSpan w:val="5"/>
          </w:tcPr>
          <w:p>
            <w:pPr>
              <w:spacing w:after="0"/>
              <w:rPr>
                <w:sz w:val="20"/>
                <w:szCs w:val="20"/>
                <w:color w:val="auto"/>
              </w:rPr>
            </w:pPr>
            <w:r>
              <w:rPr>
                <w:rFonts w:ascii="Times New Roman" w:cs="Times New Roman" w:eastAsia="Times New Roman" w:hAnsi="Times New Roman"/>
                <w:sz w:val="19"/>
                <w:szCs w:val="19"/>
                <w:color w:val="231F20"/>
              </w:rPr>
              <w:t>Changes in unrecognized tax benefits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231F20"/>
              </w:rPr>
              <w:t>(0.2 )</w:t>
            </w:r>
          </w:p>
        </w:tc>
      </w:tr>
      <w:tr>
        <w:trPr>
          <w:trHeight w:val="228"/>
        </w:trPr>
        <w:tc>
          <w:tcPr>
            <w:tcW w:w="5600" w:type="dxa"/>
            <w:vAlign w:val="bottom"/>
            <w:tcBorders>
              <w:top w:val="single" w:sz="8" w:color="E2E3E4"/>
            </w:tcBorders>
            <w:gridSpan w:val="5"/>
            <w:shd w:val="clear" w:color="auto" w:fill="E2E3E4"/>
          </w:tcPr>
          <w:p>
            <w:pPr>
              <w:spacing w:after="0"/>
              <w:rPr>
                <w:sz w:val="20"/>
                <w:szCs w:val="20"/>
                <w:color w:val="auto"/>
              </w:rPr>
            </w:pPr>
            <w:r>
              <w:rPr>
                <w:rFonts w:ascii="Times New Roman" w:cs="Times New Roman" w:eastAsia="Times New Roman" w:hAnsi="Times New Roman"/>
                <w:sz w:val="19"/>
                <w:szCs w:val="19"/>
                <w:color w:val="231F20"/>
              </w:rPr>
              <w:t>Effective income tax rate</w:t>
            </w:r>
          </w:p>
        </w:tc>
        <w:tc>
          <w:tcPr>
            <w:tcW w:w="120" w:type="dxa"/>
            <w:vAlign w:val="bottom"/>
            <w:tcBorders>
              <w:top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231F20"/>
            </w:tcBorders>
            <w:shd w:val="clear" w:color="auto" w:fill="E2E3E4"/>
          </w:tcPr>
          <w:p>
            <w:pPr>
              <w:spacing w:after="0"/>
              <w:rPr>
                <w:sz w:val="19"/>
                <w:szCs w:val="19"/>
                <w:color w:val="auto"/>
              </w:rPr>
            </w:pPr>
          </w:p>
        </w:tc>
        <w:tc>
          <w:tcPr>
            <w:tcW w:w="120" w:type="dxa"/>
            <w:vAlign w:val="bottom"/>
            <w:tcBorders>
              <w:top w:val="single" w:sz="8" w:color="231F20"/>
              <w:bottom w:val="single" w:sz="8" w:color="231F20"/>
            </w:tcBorders>
            <w:shd w:val="clear" w:color="auto" w:fill="E2E3E4"/>
          </w:tcPr>
          <w:p>
            <w:pPr>
              <w:spacing w:after="0"/>
              <w:rPr>
                <w:sz w:val="19"/>
                <w:szCs w:val="19"/>
                <w:color w:val="auto"/>
              </w:rPr>
            </w:pPr>
          </w:p>
        </w:tc>
        <w:tc>
          <w:tcPr>
            <w:tcW w:w="106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60" w:type="dxa"/>
            <w:vAlign w:val="bottom"/>
            <w:tcBorders>
              <w:top w:val="single" w:sz="8" w:color="E2E3E4"/>
            </w:tcBorders>
            <w:shd w:val="clear" w:color="auto" w:fill="E2E3E4"/>
          </w:tcPr>
          <w:p>
            <w:pPr>
              <w:spacing w:after="0"/>
              <w:rPr>
                <w:sz w:val="19"/>
                <w:szCs w:val="19"/>
                <w:color w:val="auto"/>
              </w:rPr>
            </w:pPr>
          </w:p>
        </w:tc>
        <w:tc>
          <w:tcPr>
            <w:tcW w:w="80" w:type="dxa"/>
            <w:vAlign w:val="bottom"/>
            <w:tcBorders>
              <w:top w:val="single" w:sz="8" w:color="231F20"/>
              <w:bottom w:val="single" w:sz="8" w:color="231F20"/>
            </w:tcBorders>
            <w:shd w:val="clear" w:color="auto" w:fill="E2E3E4"/>
          </w:tcPr>
          <w:p>
            <w:pPr>
              <w:spacing w:after="0"/>
              <w:rPr>
                <w:sz w:val="19"/>
                <w:szCs w:val="19"/>
                <w:color w:val="auto"/>
              </w:rPr>
            </w:pPr>
          </w:p>
        </w:tc>
        <w:tc>
          <w:tcPr>
            <w:tcW w:w="106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9"/>
                <w:szCs w:val="19"/>
                <w:color w:val="231F20"/>
              </w:rPr>
              <w:t>0.0</w:t>
            </w:r>
          </w:p>
        </w:tc>
        <w:tc>
          <w:tcPr>
            <w:tcW w:w="160" w:type="dxa"/>
            <w:vAlign w:val="bottom"/>
            <w:tcBorders>
              <w:top w:val="single" w:sz="8" w:color="E2E3E4"/>
            </w:tcBorders>
            <w:shd w:val="clear" w:color="auto" w:fill="E2E3E4"/>
          </w:tcPr>
          <w:p>
            <w:pPr>
              <w:spacing w:after="0"/>
              <w:rPr>
                <w:sz w:val="20"/>
                <w:szCs w:val="20"/>
                <w:color w:val="auto"/>
              </w:rPr>
            </w:pPr>
            <w:r>
              <w:rPr>
                <w:rFonts w:ascii="Times New Roman" w:cs="Times New Roman" w:eastAsia="Times New Roman" w:hAnsi="Times New Roman"/>
                <w:sz w:val="19"/>
                <w:szCs w:val="19"/>
                <w:color w:val="231F20"/>
                <w:w w:val="88"/>
                <w:shd w:val="clear" w:color="auto" w:fill="E2E3E4"/>
              </w:rPr>
              <w:t>%</w:t>
            </w: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4307205</wp:posOffset>
                </wp:positionH>
                <wp:positionV relativeFrom="paragraph">
                  <wp:posOffset>-3728085</wp:posOffset>
                </wp:positionV>
                <wp:extent cx="156845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8450" cy="4763"/>
                        </a:xfrm>
                        <a:prstGeom prst="line">
                          <a:avLst/>
                        </a:prstGeom>
                        <a:solidFill>
                          <a:srgbClr val="FFFFFF"/>
                        </a:solidFill>
                        <a:ln w="8868">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15pt,-293.5499pt" to="462.65pt,-293.5499pt" o:allowincell="f" strokecolor="#FFFFFF" strokeweight="0.6983pt"/>
            </w:pict>
          </mc:Fallback>
        </mc:AlternateContent>
        <mc:AlternateContent>
          <mc:Choice Requires="wps">
            <w:drawing>
              <wp:anchor simplePos="0" relativeHeight="251657728" behindDoc="1" locked="0" layoutInCell="0" allowOverlap="1">
                <wp:simplePos x="0" y="0"/>
                <wp:positionH relativeFrom="column">
                  <wp:posOffset>4307205</wp:posOffset>
                </wp:positionH>
                <wp:positionV relativeFrom="paragraph">
                  <wp:posOffset>-3599180</wp:posOffset>
                </wp:positionV>
                <wp:extent cx="156845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8450" cy="4763"/>
                        </a:xfrm>
                        <a:prstGeom prst="line">
                          <a:avLst/>
                        </a:prstGeom>
                        <a:solidFill>
                          <a:srgbClr val="FFFFFF"/>
                        </a:solidFill>
                        <a:ln w="8870">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15pt,-283.3999pt" to="462.65pt,-283.3999pt" o:allowincell="f" strokecolor="#FFFFFF" strokeweight="0.6984pt"/>
            </w:pict>
          </mc:Fallback>
        </mc:AlternateContent>
        <mc:AlternateContent>
          <mc:Choice Requires="wps">
            <w:drawing>
              <wp:anchor simplePos="0" relativeHeight="251657728" behindDoc="1" locked="0" layoutInCell="0" allowOverlap="1">
                <wp:simplePos x="0" y="0"/>
                <wp:positionH relativeFrom="column">
                  <wp:posOffset>664845</wp:posOffset>
                </wp:positionH>
                <wp:positionV relativeFrom="paragraph">
                  <wp:posOffset>-3176270</wp:posOffset>
                </wp:positionV>
                <wp:extent cx="532193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1935" cy="4763"/>
                        </a:xfrm>
                        <a:prstGeom prst="line">
                          <a:avLst/>
                        </a:prstGeom>
                        <a:solidFill>
                          <a:srgbClr val="FFFFFF"/>
                        </a:solidFill>
                        <a:ln w="8863">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250.0999pt" to="471.4pt,-250.0999pt" o:allowincell="f" strokecolor="#FFFFFF" strokeweight="0.6979pt"/>
            </w:pict>
          </mc:Fallback>
        </mc:AlternateContent>
        <mc:AlternateContent>
          <mc:Choice Requires="wps">
            <w:drawing>
              <wp:anchor simplePos="0" relativeHeight="251657728" behindDoc="1" locked="0" layoutInCell="0" allowOverlap="1">
                <wp:simplePos x="0" y="0"/>
                <wp:positionH relativeFrom="column">
                  <wp:posOffset>664845</wp:posOffset>
                </wp:positionH>
                <wp:positionV relativeFrom="paragraph">
                  <wp:posOffset>-2274570</wp:posOffset>
                </wp:positionV>
                <wp:extent cx="532193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193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179.0999pt" to="471.4pt,-179.0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664845</wp:posOffset>
                </wp:positionH>
                <wp:positionV relativeFrom="paragraph">
                  <wp:posOffset>-930910</wp:posOffset>
                </wp:positionV>
                <wp:extent cx="532193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2193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73.2999pt" to="471.4pt,-73.2999pt" o:allowincell="f" strokecolor="#FFFFFF" strokeweight="0.699pt"/>
            </w:pict>
          </mc:Fallback>
        </mc:AlternateContent>
      </w:r>
    </w:p>
    <w:p>
      <w:pPr>
        <w:spacing w:after="0" w:line="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231F20"/>
        </w:rPr>
        <w:t>(1) Includes United States state and local income taxes, net of federal income tax effect.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 reconciliation of the Singapore statutory income tax rate to the Company’s effective income tax rate is as follows:</w:t>
      </w:r>
    </w:p>
    <w:p>
      <w:pPr>
        <w:spacing w:after="0" w:line="24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3524885</wp:posOffset>
                </wp:positionH>
                <wp:positionV relativeFrom="paragraph">
                  <wp:posOffset>10160</wp:posOffset>
                </wp:positionV>
                <wp:extent cx="201803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8030" cy="4763"/>
                        </a:xfrm>
                        <a:prstGeom prst="line">
                          <a:avLst/>
                        </a:prstGeom>
                        <a:solidFill>
                          <a:srgbClr val="FFFFFF"/>
                        </a:solidFill>
                        <a:ln w="5905">
                          <a:solidFill>
                            <a:srgbClr val="231F2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55pt,0.8pt" to="436.45pt,0.8pt" o:allowincell="f" strokecolor="#231F20" strokeweight="0.465pt"/>
            </w:pict>
          </mc:Fallback>
        </mc:AlternateContent>
      </w:r>
    </w:p>
    <w:p>
      <w:pPr>
        <w:spacing w:after="0" w:line="9" w:lineRule="exact"/>
        <w:rPr>
          <w:sz w:val="20"/>
          <w:szCs w:val="20"/>
          <w:color w:val="auto"/>
        </w:rPr>
      </w:pPr>
    </w:p>
    <w:tbl>
      <w:tblPr>
        <w:tblLayout w:type="fixed"/>
        <w:tblInd w:w="1580" w:type="dxa"/>
        <w:tblCellMar>
          <w:top w:w="0" w:type="dxa"/>
          <w:left w:w="0" w:type="dxa"/>
          <w:bottom w:w="0" w:type="dxa"/>
          <w:right w:w="0" w:type="dxa"/>
        </w:tblCellMar>
      </w:tblPr>
      <w:tr>
        <w:trPr>
          <w:trHeight w:val="205"/>
        </w:trPr>
        <w:tc>
          <w:tcPr>
            <w:tcW w:w="4920" w:type="dxa"/>
            <w:vAlign w:val="bottom"/>
            <w:gridSpan w:val="4"/>
          </w:tcPr>
          <w:p>
            <w:pPr>
              <w:ind w:left="45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4"/>
          </w:tcPr>
          <w:p>
            <w:pPr>
              <w:jc w:val="right"/>
              <w:ind w:right="46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7"/>
                <w:szCs w:val="17"/>
                <w:color w:val="auto"/>
              </w:rPr>
            </w:pPr>
          </w:p>
        </w:tc>
      </w:tr>
      <w:tr>
        <w:trPr>
          <w:trHeight w:val="207"/>
        </w:trPr>
        <w:tc>
          <w:tcPr>
            <w:tcW w:w="3840" w:type="dxa"/>
            <w:vAlign w:val="bottom"/>
            <w:tcBorders>
              <w:top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Singapore statutory income tax rate</w:t>
            </w:r>
          </w:p>
        </w:tc>
        <w:tc>
          <w:tcPr>
            <w:tcW w:w="12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940" w:type="dxa"/>
            <w:vAlign w:val="bottom"/>
            <w:tcBorders>
              <w:top w:val="single" w:sz="8" w:color="231F20"/>
            </w:tcBorders>
            <w:shd w:val="clear" w:color="auto" w:fill="E2E3E4"/>
          </w:tcPr>
          <w:p>
            <w:pPr>
              <w:spacing w:after="0"/>
              <w:rPr>
                <w:sz w:val="17"/>
                <w:szCs w:val="17"/>
                <w:color w:val="auto"/>
              </w:rPr>
            </w:pPr>
          </w:p>
        </w:tc>
        <w:tc>
          <w:tcPr>
            <w:tcW w:w="500" w:type="dxa"/>
            <w:vAlign w:val="bottom"/>
            <w:tcBorders>
              <w:top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17.0</w:t>
            </w:r>
          </w:p>
        </w:tc>
        <w:tc>
          <w:tcPr>
            <w:tcW w:w="160" w:type="dxa"/>
            <w:vAlign w:val="bottom"/>
            <w:tcBorders>
              <w:top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w w:val="88"/>
                <w:shd w:val="clear" w:color="auto" w:fill="E2E3E4"/>
              </w:rPr>
              <w:t>%</w:t>
            </w:r>
          </w:p>
        </w:tc>
        <w:tc>
          <w:tcPr>
            <w:tcW w:w="12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40" w:type="dxa"/>
            <w:vAlign w:val="bottom"/>
            <w:tcBorders>
              <w:top w:val="single" w:sz="8" w:color="231F20"/>
            </w:tcBorders>
            <w:shd w:val="clear" w:color="auto" w:fill="E2E3E4"/>
          </w:tcPr>
          <w:p>
            <w:pPr>
              <w:spacing w:after="0"/>
              <w:rPr>
                <w:sz w:val="17"/>
                <w:szCs w:val="17"/>
                <w:color w:val="auto"/>
              </w:rPr>
            </w:pPr>
          </w:p>
        </w:tc>
        <w:tc>
          <w:tcPr>
            <w:tcW w:w="1380" w:type="dxa"/>
            <w:vAlign w:val="bottom"/>
            <w:tcBorders>
              <w:top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17.0</w:t>
            </w:r>
          </w:p>
        </w:tc>
        <w:tc>
          <w:tcPr>
            <w:tcW w:w="180" w:type="dxa"/>
            <w:vAlign w:val="bottom"/>
            <w:tcBorders>
              <w:top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shd w:val="clear" w:color="auto" w:fill="E2E3E4"/>
              </w:rPr>
              <w:t>%</w:t>
            </w:r>
          </w:p>
        </w:tc>
      </w:tr>
      <w:tr>
        <w:trPr>
          <w:trHeight w:val="235"/>
        </w:trPr>
        <w:tc>
          <w:tcPr>
            <w:tcW w:w="384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Federal and state tax credits</w:t>
            </w:r>
          </w:p>
        </w:tc>
        <w:tc>
          <w:tcPr>
            <w:tcW w:w="12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spacing w:after="0"/>
              <w:rPr>
                <w:sz w:val="20"/>
                <w:szCs w:val="20"/>
                <w:color w:val="auto"/>
              </w:rPr>
            </w:pPr>
          </w:p>
        </w:tc>
        <w:tc>
          <w:tcPr>
            <w:tcW w:w="5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9.8</w:t>
            </w:r>
          </w:p>
        </w:tc>
        <w:tc>
          <w:tcPr>
            <w:tcW w:w="160" w:type="dxa"/>
            <w:vAlign w:val="bottom"/>
            <w:tcBorders>
              <w:bottom w:val="single" w:sz="8" w:color="E2E3E4"/>
            </w:tcBorders>
          </w:tcPr>
          <w:p>
            <w:pPr>
              <w:spacing w:after="0"/>
              <w:rPr>
                <w:sz w:val="20"/>
                <w:szCs w:val="20"/>
                <w:color w:val="auto"/>
              </w:rPr>
            </w:pPr>
          </w:p>
        </w:tc>
        <w:tc>
          <w:tcPr>
            <w:tcW w:w="156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9"/>
                <w:szCs w:val="19"/>
                <w:color w:val="231F20"/>
              </w:rPr>
              <w:t>11.5</w:t>
            </w:r>
          </w:p>
        </w:tc>
        <w:tc>
          <w:tcPr>
            <w:tcW w:w="180" w:type="dxa"/>
            <w:vAlign w:val="bottom"/>
            <w:tcBorders>
              <w:bottom w:val="single" w:sz="8" w:color="E2E3E4"/>
            </w:tcBorders>
          </w:tcPr>
          <w:p>
            <w:pPr>
              <w:spacing w:after="0"/>
              <w:rPr>
                <w:sz w:val="20"/>
                <w:szCs w:val="20"/>
                <w:color w:val="auto"/>
              </w:rPr>
            </w:pPr>
          </w:p>
        </w:tc>
      </w:tr>
      <w:tr>
        <w:trPr>
          <w:trHeight w:val="217"/>
        </w:trPr>
        <w:tc>
          <w:tcPr>
            <w:tcW w:w="384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Permanent differences</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40" w:type="dxa"/>
            <w:vAlign w:val="bottom"/>
            <w:shd w:val="clear" w:color="auto" w:fill="E2E3E4"/>
          </w:tcPr>
          <w:p>
            <w:pPr>
              <w:spacing w:after="0"/>
              <w:rPr>
                <w:sz w:val="18"/>
                <w:szCs w:val="18"/>
                <w:color w:val="auto"/>
              </w:rPr>
            </w:pPr>
          </w:p>
        </w:tc>
        <w:tc>
          <w:tcPr>
            <w:tcW w:w="5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(3.1</w:t>
            </w:r>
          </w:p>
        </w:tc>
        <w:tc>
          <w:tcPr>
            <w:tcW w:w="16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shd w:val="clear" w:color="auto" w:fill="E2E3E4"/>
              </w:rPr>
              <w:t>)</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40" w:type="dxa"/>
            <w:vAlign w:val="bottom"/>
            <w:shd w:val="clear" w:color="auto" w:fill="E2E3E4"/>
          </w:tcPr>
          <w:p>
            <w:pPr>
              <w:spacing w:after="0"/>
              <w:rPr>
                <w:sz w:val="18"/>
                <w:szCs w:val="18"/>
                <w:color w:val="auto"/>
              </w:rPr>
            </w:pPr>
          </w:p>
        </w:tc>
        <w:tc>
          <w:tcPr>
            <w:tcW w:w="13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E2E3E4"/>
          </w:tcPr>
          <w:p>
            <w:pPr>
              <w:spacing w:after="0"/>
              <w:rPr>
                <w:sz w:val="18"/>
                <w:szCs w:val="18"/>
                <w:color w:val="auto"/>
              </w:rPr>
            </w:pPr>
          </w:p>
        </w:tc>
      </w:tr>
      <w:tr>
        <w:trPr>
          <w:trHeight w:val="237"/>
        </w:trPr>
        <w:tc>
          <w:tcPr>
            <w:tcW w:w="384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Changes in reserves for uncertain tax positions</w:t>
            </w:r>
          </w:p>
        </w:tc>
        <w:tc>
          <w:tcPr>
            <w:tcW w:w="120" w:type="dxa"/>
            <w:vAlign w:val="bottom"/>
            <w:tcBorders>
              <w:bottom w:val="single" w:sz="8" w:color="E2E3E4"/>
            </w:tcBorders>
          </w:tcPr>
          <w:p>
            <w:pPr>
              <w:spacing w:after="0"/>
              <w:rPr>
                <w:sz w:val="20"/>
                <w:szCs w:val="20"/>
                <w:color w:val="auto"/>
              </w:rPr>
            </w:pPr>
          </w:p>
        </w:tc>
        <w:tc>
          <w:tcPr>
            <w:tcW w:w="960" w:type="dxa"/>
            <w:vAlign w:val="bottom"/>
            <w:tcBorders>
              <w:bottom w:val="single" w:sz="8" w:color="E2E3E4"/>
            </w:tcBorders>
            <w:gridSpan w:val="2"/>
          </w:tcPr>
          <w:p>
            <w:pPr>
              <w:spacing w:after="0"/>
              <w:rPr>
                <w:sz w:val="20"/>
                <w:szCs w:val="20"/>
                <w:color w:val="auto"/>
              </w:rPr>
            </w:pPr>
          </w:p>
        </w:tc>
        <w:tc>
          <w:tcPr>
            <w:tcW w:w="660" w:type="dxa"/>
            <w:vAlign w:val="bottom"/>
            <w:tcBorders>
              <w:bottom w:val="single" w:sz="8" w:color="E2E3E4"/>
            </w:tcBorders>
            <w:gridSpan w:val="2"/>
          </w:tcPr>
          <w:p>
            <w:pPr>
              <w:jc w:val="right"/>
              <w:ind w:right="3"/>
              <w:spacing w:after="0"/>
              <w:rPr>
                <w:sz w:val="20"/>
                <w:szCs w:val="20"/>
                <w:color w:val="auto"/>
              </w:rPr>
            </w:pPr>
            <w:r>
              <w:rPr>
                <w:rFonts w:ascii="Times New Roman" w:cs="Times New Roman" w:eastAsia="Times New Roman" w:hAnsi="Times New Roman"/>
                <w:sz w:val="19"/>
                <w:szCs w:val="19"/>
                <w:color w:val="231F20"/>
              </w:rPr>
              <w:t>(6.0 )</w:t>
            </w:r>
          </w:p>
        </w:tc>
        <w:tc>
          <w:tcPr>
            <w:tcW w:w="1740" w:type="dxa"/>
            <w:vAlign w:val="bottom"/>
            <w:tcBorders>
              <w:bottom w:val="single" w:sz="8" w:color="E2E3E4"/>
            </w:tcBorders>
            <w:gridSpan w:val="5"/>
          </w:tcPr>
          <w:p>
            <w:pPr>
              <w:jc w:val="right"/>
              <w:ind w:right="3"/>
              <w:spacing w:after="0"/>
              <w:rPr>
                <w:sz w:val="20"/>
                <w:szCs w:val="20"/>
                <w:color w:val="auto"/>
              </w:rPr>
            </w:pPr>
            <w:r>
              <w:rPr>
                <w:rFonts w:ascii="Times New Roman" w:cs="Times New Roman" w:eastAsia="Times New Roman" w:hAnsi="Times New Roman"/>
                <w:sz w:val="19"/>
                <w:szCs w:val="19"/>
                <w:color w:val="231F20"/>
              </w:rPr>
              <w:t>(2.8 )</w:t>
            </w:r>
          </w:p>
        </w:tc>
      </w:tr>
      <w:tr>
        <w:trPr>
          <w:trHeight w:val="215"/>
        </w:trPr>
        <w:tc>
          <w:tcPr>
            <w:tcW w:w="3840" w:type="dxa"/>
            <w:vAlign w:val="bottom"/>
            <w:shd w:val="clear" w:color="auto" w:fill="E2E3E4"/>
          </w:tcPr>
          <w:p>
            <w:pPr>
              <w:spacing w:after="0" w:line="215" w:lineRule="exact"/>
              <w:rPr>
                <w:sz w:val="20"/>
                <w:szCs w:val="20"/>
                <w:color w:val="auto"/>
              </w:rPr>
            </w:pPr>
            <w:r>
              <w:rPr>
                <w:rFonts w:ascii="Times New Roman" w:cs="Times New Roman" w:eastAsia="Times New Roman" w:hAnsi="Times New Roman"/>
                <w:sz w:val="19"/>
                <w:szCs w:val="19"/>
                <w:color w:val="231F20"/>
              </w:rPr>
              <w:t>Foreign rate differential</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40" w:type="dxa"/>
            <w:vAlign w:val="bottom"/>
            <w:shd w:val="clear" w:color="auto" w:fill="E2E3E4"/>
          </w:tcPr>
          <w:p>
            <w:pPr>
              <w:spacing w:after="0"/>
              <w:rPr>
                <w:sz w:val="18"/>
                <w:szCs w:val="18"/>
                <w:color w:val="auto"/>
              </w:rPr>
            </w:pPr>
          </w:p>
        </w:tc>
        <w:tc>
          <w:tcPr>
            <w:tcW w:w="50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7.2</w:t>
            </w:r>
          </w:p>
        </w:tc>
        <w:tc>
          <w:tcPr>
            <w:tcW w:w="16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40" w:type="dxa"/>
            <w:vAlign w:val="bottom"/>
            <w:shd w:val="clear" w:color="auto" w:fill="E2E3E4"/>
          </w:tcPr>
          <w:p>
            <w:pPr>
              <w:spacing w:after="0"/>
              <w:rPr>
                <w:sz w:val="18"/>
                <w:szCs w:val="18"/>
                <w:color w:val="auto"/>
              </w:rPr>
            </w:pPr>
          </w:p>
        </w:tc>
        <w:tc>
          <w:tcPr>
            <w:tcW w:w="138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7.4</w:t>
            </w:r>
          </w:p>
        </w:tc>
        <w:tc>
          <w:tcPr>
            <w:tcW w:w="180" w:type="dxa"/>
            <w:vAlign w:val="bottom"/>
            <w:shd w:val="clear" w:color="auto" w:fill="E2E3E4"/>
          </w:tcPr>
          <w:p>
            <w:pPr>
              <w:spacing w:after="0"/>
              <w:rPr>
                <w:sz w:val="18"/>
                <w:szCs w:val="18"/>
                <w:color w:val="auto"/>
              </w:rPr>
            </w:pPr>
          </w:p>
        </w:tc>
      </w:tr>
      <w:tr>
        <w:trPr>
          <w:trHeight w:val="237"/>
        </w:trPr>
        <w:tc>
          <w:tcPr>
            <w:tcW w:w="384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Tax rate change</w:t>
            </w:r>
          </w:p>
        </w:tc>
        <w:tc>
          <w:tcPr>
            <w:tcW w:w="120" w:type="dxa"/>
            <w:vAlign w:val="bottom"/>
            <w:tcBorders>
              <w:bottom w:val="single" w:sz="8" w:color="E2E3E4"/>
            </w:tcBorders>
          </w:tcPr>
          <w:p>
            <w:pPr>
              <w:spacing w:after="0"/>
              <w:rPr>
                <w:sz w:val="20"/>
                <w:szCs w:val="20"/>
                <w:color w:val="auto"/>
              </w:rPr>
            </w:pPr>
          </w:p>
        </w:tc>
        <w:tc>
          <w:tcPr>
            <w:tcW w:w="960" w:type="dxa"/>
            <w:vAlign w:val="bottom"/>
            <w:tcBorders>
              <w:bottom w:val="single" w:sz="8" w:color="E2E3E4"/>
            </w:tcBorders>
            <w:gridSpan w:val="2"/>
          </w:tcPr>
          <w:p>
            <w:pPr>
              <w:spacing w:after="0"/>
              <w:rPr>
                <w:sz w:val="20"/>
                <w:szCs w:val="20"/>
                <w:color w:val="auto"/>
              </w:rPr>
            </w:pPr>
          </w:p>
        </w:tc>
        <w:tc>
          <w:tcPr>
            <w:tcW w:w="660" w:type="dxa"/>
            <w:vAlign w:val="bottom"/>
            <w:tcBorders>
              <w:bottom w:val="single" w:sz="8" w:color="E2E3E4"/>
            </w:tcBorders>
            <w:gridSpan w:val="2"/>
          </w:tcPr>
          <w:p>
            <w:pPr>
              <w:jc w:val="right"/>
              <w:ind w:right="3"/>
              <w:spacing w:after="0"/>
              <w:rPr>
                <w:sz w:val="20"/>
                <w:szCs w:val="20"/>
                <w:color w:val="auto"/>
              </w:rPr>
            </w:pPr>
            <w:r>
              <w:rPr>
                <w:rFonts w:ascii="Times New Roman" w:cs="Times New Roman" w:eastAsia="Times New Roman" w:hAnsi="Times New Roman"/>
                <w:sz w:val="19"/>
                <w:szCs w:val="19"/>
                <w:color w:val="231F20"/>
              </w:rPr>
              <w:t>(2.2 )</w:t>
            </w:r>
          </w:p>
        </w:tc>
        <w:tc>
          <w:tcPr>
            <w:tcW w:w="156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180" w:type="dxa"/>
            <w:vAlign w:val="bottom"/>
            <w:tcBorders>
              <w:bottom w:val="single" w:sz="8" w:color="E2E3E4"/>
            </w:tcBorders>
          </w:tcPr>
          <w:p>
            <w:pPr>
              <w:spacing w:after="0"/>
              <w:rPr>
                <w:sz w:val="20"/>
                <w:szCs w:val="20"/>
                <w:color w:val="auto"/>
              </w:rPr>
            </w:pPr>
          </w:p>
        </w:tc>
      </w:tr>
      <w:tr>
        <w:trPr>
          <w:trHeight w:val="217"/>
        </w:trPr>
        <w:tc>
          <w:tcPr>
            <w:tcW w:w="384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Return to provision</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40" w:type="dxa"/>
            <w:vAlign w:val="bottom"/>
            <w:shd w:val="clear" w:color="auto" w:fill="E2E3E4"/>
          </w:tcPr>
          <w:p>
            <w:pPr>
              <w:spacing w:after="0"/>
              <w:rPr>
                <w:sz w:val="18"/>
                <w:szCs w:val="18"/>
                <w:color w:val="auto"/>
              </w:rPr>
            </w:pPr>
          </w:p>
        </w:tc>
        <w:tc>
          <w:tcPr>
            <w:tcW w:w="5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0.9</w:t>
            </w:r>
          </w:p>
        </w:tc>
        <w:tc>
          <w:tcPr>
            <w:tcW w:w="160" w:type="dxa"/>
            <w:vAlign w:val="bottom"/>
            <w:shd w:val="clear" w:color="auto" w:fill="E2E3E4"/>
          </w:tcPr>
          <w:p>
            <w:pPr>
              <w:spacing w:after="0"/>
              <w:rPr>
                <w:sz w:val="18"/>
                <w:szCs w:val="18"/>
                <w:color w:val="auto"/>
              </w:rPr>
            </w:pP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40" w:type="dxa"/>
            <w:vAlign w:val="bottom"/>
            <w:shd w:val="clear" w:color="auto" w:fill="E2E3E4"/>
          </w:tcPr>
          <w:p>
            <w:pPr>
              <w:spacing w:after="0"/>
              <w:rPr>
                <w:sz w:val="18"/>
                <w:szCs w:val="18"/>
                <w:color w:val="auto"/>
              </w:rPr>
            </w:pPr>
          </w:p>
        </w:tc>
        <w:tc>
          <w:tcPr>
            <w:tcW w:w="13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4.4</w:t>
            </w:r>
          </w:p>
        </w:tc>
        <w:tc>
          <w:tcPr>
            <w:tcW w:w="180" w:type="dxa"/>
            <w:vAlign w:val="bottom"/>
            <w:shd w:val="clear" w:color="auto" w:fill="E2E3E4"/>
          </w:tcPr>
          <w:p>
            <w:pPr>
              <w:spacing w:after="0"/>
              <w:rPr>
                <w:sz w:val="18"/>
                <w:szCs w:val="18"/>
                <w:color w:val="auto"/>
              </w:rPr>
            </w:pPr>
          </w:p>
        </w:tc>
      </w:tr>
      <w:tr>
        <w:trPr>
          <w:trHeight w:val="235"/>
        </w:trPr>
        <w:tc>
          <w:tcPr>
            <w:tcW w:w="384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Other</w:t>
            </w:r>
          </w:p>
        </w:tc>
        <w:tc>
          <w:tcPr>
            <w:tcW w:w="120" w:type="dxa"/>
            <w:vAlign w:val="bottom"/>
            <w:tcBorders>
              <w:bottom w:val="single" w:sz="8" w:color="E2E3E4"/>
            </w:tcBorders>
          </w:tcPr>
          <w:p>
            <w:pPr>
              <w:spacing w:after="0"/>
              <w:rPr>
                <w:sz w:val="20"/>
                <w:szCs w:val="20"/>
                <w:color w:val="auto"/>
              </w:rPr>
            </w:pPr>
          </w:p>
        </w:tc>
        <w:tc>
          <w:tcPr>
            <w:tcW w:w="960" w:type="dxa"/>
            <w:vAlign w:val="bottom"/>
            <w:tcBorders>
              <w:bottom w:val="single" w:sz="8" w:color="E2E3E4"/>
            </w:tcBorders>
            <w:gridSpan w:val="2"/>
          </w:tcPr>
          <w:p>
            <w:pPr>
              <w:spacing w:after="0"/>
              <w:rPr>
                <w:sz w:val="20"/>
                <w:szCs w:val="20"/>
                <w:color w:val="auto"/>
              </w:rPr>
            </w:pPr>
          </w:p>
        </w:tc>
        <w:tc>
          <w:tcPr>
            <w:tcW w:w="660" w:type="dxa"/>
            <w:vAlign w:val="bottom"/>
            <w:tcBorders>
              <w:bottom w:val="single" w:sz="8" w:color="E2E3E4"/>
            </w:tcBorders>
            <w:gridSpan w:val="2"/>
          </w:tcPr>
          <w:p>
            <w:pPr>
              <w:jc w:val="right"/>
              <w:ind w:right="3"/>
              <w:spacing w:after="0"/>
              <w:rPr>
                <w:sz w:val="20"/>
                <w:szCs w:val="20"/>
                <w:color w:val="auto"/>
              </w:rPr>
            </w:pPr>
            <w:r>
              <w:rPr>
                <w:rFonts w:ascii="Times New Roman" w:cs="Times New Roman" w:eastAsia="Times New Roman" w:hAnsi="Times New Roman"/>
                <w:sz w:val="19"/>
                <w:szCs w:val="19"/>
                <w:color w:val="231F20"/>
              </w:rPr>
              <w:t>(0.4 )</w:t>
            </w:r>
          </w:p>
        </w:tc>
        <w:tc>
          <w:tcPr>
            <w:tcW w:w="1560" w:type="dxa"/>
            <w:vAlign w:val="bottom"/>
            <w:tcBorders>
              <w:bottom w:val="single" w:sz="8" w:color="E2E3E4"/>
            </w:tcBorders>
            <w:gridSpan w:val="4"/>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180" w:type="dxa"/>
            <w:vAlign w:val="bottom"/>
            <w:tcBorders>
              <w:bottom w:val="single" w:sz="8" w:color="E2E3E4"/>
            </w:tcBorders>
          </w:tcPr>
          <w:p>
            <w:pPr>
              <w:spacing w:after="0"/>
              <w:rPr>
                <w:sz w:val="20"/>
                <w:szCs w:val="20"/>
                <w:color w:val="auto"/>
              </w:rPr>
            </w:pPr>
          </w:p>
        </w:tc>
      </w:tr>
      <w:tr>
        <w:trPr>
          <w:trHeight w:val="217"/>
        </w:trPr>
        <w:tc>
          <w:tcPr>
            <w:tcW w:w="384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shd w:val="clear" w:color="auto" w:fill="E2E3E4"/>
              </w:rPr>
              <w:t>Change in deferred tax asset valuation allowance</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40" w:type="dxa"/>
            <w:vAlign w:val="bottom"/>
            <w:shd w:val="clear" w:color="auto" w:fill="E2E3E4"/>
          </w:tcPr>
          <w:p>
            <w:pPr>
              <w:spacing w:after="0"/>
              <w:rPr>
                <w:sz w:val="18"/>
                <w:szCs w:val="18"/>
                <w:color w:val="auto"/>
              </w:rPr>
            </w:pPr>
          </w:p>
        </w:tc>
        <w:tc>
          <w:tcPr>
            <w:tcW w:w="5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(26.0</w:t>
            </w:r>
          </w:p>
        </w:tc>
        <w:tc>
          <w:tcPr>
            <w:tcW w:w="16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shd w:val="clear" w:color="auto" w:fill="E2E3E4"/>
              </w:rPr>
              <w:t>)</w:t>
            </w:r>
          </w:p>
        </w:tc>
        <w:tc>
          <w:tcPr>
            <w:tcW w:w="12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40" w:type="dxa"/>
            <w:vAlign w:val="bottom"/>
            <w:shd w:val="clear" w:color="auto" w:fill="E2E3E4"/>
          </w:tcPr>
          <w:p>
            <w:pPr>
              <w:spacing w:after="0"/>
              <w:rPr>
                <w:sz w:val="18"/>
                <w:szCs w:val="18"/>
                <w:color w:val="auto"/>
              </w:rPr>
            </w:pPr>
          </w:p>
        </w:tc>
        <w:tc>
          <w:tcPr>
            <w:tcW w:w="13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(36.1</w:t>
            </w:r>
          </w:p>
        </w:tc>
        <w:tc>
          <w:tcPr>
            <w:tcW w:w="18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shd w:val="clear" w:color="auto" w:fill="E2E3E4"/>
              </w:rPr>
              <w:t>)</w:t>
            </w: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19"/>
                <w:szCs w:val="19"/>
                <w:color w:val="231F20"/>
              </w:rPr>
              <w:t>Deferred tax adjustments</w:t>
            </w:r>
          </w:p>
        </w:tc>
        <w:tc>
          <w:tcPr>
            <w:tcW w:w="12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160" w:type="dxa"/>
            <w:vAlign w:val="bottom"/>
          </w:tcPr>
          <w:p>
            <w:pPr>
              <w:spacing w:after="0"/>
              <w:rPr>
                <w:sz w:val="22"/>
                <w:szCs w:val="22"/>
                <w:color w:val="auto"/>
              </w:rPr>
            </w:pPr>
          </w:p>
        </w:tc>
        <w:tc>
          <w:tcPr>
            <w:tcW w:w="1740" w:type="dxa"/>
            <w:vAlign w:val="bottom"/>
            <w:gridSpan w:val="5"/>
          </w:tcPr>
          <w:p>
            <w:pPr>
              <w:jc w:val="right"/>
              <w:ind w:right="3"/>
              <w:spacing w:after="0"/>
              <w:rPr>
                <w:sz w:val="20"/>
                <w:szCs w:val="20"/>
                <w:color w:val="auto"/>
              </w:rPr>
            </w:pPr>
            <w:r>
              <w:rPr>
                <w:rFonts w:ascii="Times New Roman" w:cs="Times New Roman" w:eastAsia="Times New Roman" w:hAnsi="Times New Roman"/>
                <w:sz w:val="19"/>
                <w:szCs w:val="19"/>
                <w:color w:val="231F20"/>
              </w:rPr>
              <w:t>(0.7 )</w:t>
            </w:r>
          </w:p>
        </w:tc>
      </w:tr>
      <w:tr>
        <w:trPr>
          <w:trHeight w:val="227"/>
        </w:trPr>
        <w:tc>
          <w:tcPr>
            <w:tcW w:w="3840" w:type="dxa"/>
            <w:vAlign w:val="bottom"/>
            <w:tcBorders>
              <w:top w:val="single" w:sz="8" w:color="E2E3E4"/>
              <w:bottom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Effective income tax rate</w:t>
            </w:r>
          </w:p>
        </w:tc>
        <w:tc>
          <w:tcPr>
            <w:tcW w:w="120" w:type="dxa"/>
            <w:vAlign w:val="bottom"/>
            <w:tcBorders>
              <w:top w:val="single" w:sz="8" w:color="E2E3E4"/>
              <w:bottom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231F20"/>
            </w:tcBorders>
            <w:shd w:val="clear" w:color="auto" w:fill="E2E3E4"/>
          </w:tcPr>
          <w:p>
            <w:pPr>
              <w:spacing w:after="0"/>
              <w:rPr>
                <w:sz w:val="19"/>
                <w:szCs w:val="19"/>
                <w:color w:val="auto"/>
              </w:rPr>
            </w:pPr>
          </w:p>
        </w:tc>
        <w:tc>
          <w:tcPr>
            <w:tcW w:w="940" w:type="dxa"/>
            <w:vAlign w:val="bottom"/>
            <w:tcBorders>
              <w:top w:val="single" w:sz="8" w:color="231F20"/>
              <w:bottom w:val="single" w:sz="8" w:color="231F20"/>
            </w:tcBorders>
            <w:shd w:val="clear" w:color="auto" w:fill="E2E3E4"/>
          </w:tcPr>
          <w:p>
            <w:pPr>
              <w:spacing w:after="0"/>
              <w:rPr>
                <w:sz w:val="19"/>
                <w:szCs w:val="19"/>
                <w:color w:val="auto"/>
              </w:rPr>
            </w:pPr>
          </w:p>
        </w:tc>
        <w:tc>
          <w:tcPr>
            <w:tcW w:w="50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0.0</w:t>
            </w:r>
          </w:p>
        </w:tc>
        <w:tc>
          <w:tcPr>
            <w:tcW w:w="160" w:type="dxa"/>
            <w:vAlign w:val="bottom"/>
            <w:tcBorders>
              <w:top w:val="single" w:sz="8" w:color="E2E3E4"/>
              <w:bottom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w w:val="88"/>
                <w:shd w:val="clear" w:color="auto" w:fill="E2E3E4"/>
              </w:rPr>
              <w:t>%</w:t>
            </w:r>
          </w:p>
        </w:tc>
        <w:tc>
          <w:tcPr>
            <w:tcW w:w="120" w:type="dxa"/>
            <w:vAlign w:val="bottom"/>
            <w:tcBorders>
              <w:top w:val="single" w:sz="8" w:color="E2E3E4"/>
              <w:bottom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231F20"/>
            </w:tcBorders>
            <w:shd w:val="clear" w:color="auto" w:fill="E2E3E4"/>
          </w:tcPr>
          <w:p>
            <w:pPr>
              <w:spacing w:after="0"/>
              <w:rPr>
                <w:sz w:val="19"/>
                <w:szCs w:val="19"/>
                <w:color w:val="auto"/>
              </w:rPr>
            </w:pPr>
          </w:p>
        </w:tc>
        <w:tc>
          <w:tcPr>
            <w:tcW w:w="40" w:type="dxa"/>
            <w:vAlign w:val="bottom"/>
            <w:tcBorders>
              <w:top w:val="single" w:sz="8" w:color="231F20"/>
              <w:bottom w:val="single" w:sz="8" w:color="231F20"/>
            </w:tcBorders>
            <w:shd w:val="clear" w:color="auto" w:fill="E2E3E4"/>
          </w:tcPr>
          <w:p>
            <w:pPr>
              <w:spacing w:after="0"/>
              <w:rPr>
                <w:sz w:val="19"/>
                <w:szCs w:val="19"/>
                <w:color w:val="auto"/>
              </w:rPr>
            </w:pPr>
          </w:p>
        </w:tc>
        <w:tc>
          <w:tcPr>
            <w:tcW w:w="138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1.2</w:t>
            </w:r>
          </w:p>
        </w:tc>
        <w:tc>
          <w:tcPr>
            <w:tcW w:w="180" w:type="dxa"/>
            <w:vAlign w:val="bottom"/>
            <w:tcBorders>
              <w:top w:val="single" w:sz="8" w:color="E2E3E4"/>
              <w:bottom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shd w:val="clear" w:color="auto" w:fill="E2E3E4"/>
              </w:rPr>
              <w:t>%</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997585</wp:posOffset>
                </wp:positionH>
                <wp:positionV relativeFrom="paragraph">
                  <wp:posOffset>-629285</wp:posOffset>
                </wp:positionV>
                <wp:extent cx="465645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645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5pt,-49.5499pt" to="445.2pt,-49.5499pt" o:allowincell="f" strokecolor="#FFFFFF" strokeweight="0.6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231F20"/>
        </w:rPr>
        <w:t>F-24</w:t>
      </w:r>
    </w:p>
    <w:p>
      <w:pPr>
        <w:sectPr>
          <w:pgSz w:w="11880" w:h="15480" w:orient="portrait"/>
          <w:cols w:equalWidth="0" w:num="1">
            <w:col w:w="9740"/>
          </w:cols>
          <w:pgMar w:left="700" w:top="963" w:right="1440" w:bottom="213"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color w:val="231F20"/>
        </w:rPr>
        <w:t>The components of the Company’s deferred tax assets and liabilities as of December 31, 2025 and 2024 are as follows:</w:t>
      </w:r>
    </w:p>
    <w:p>
      <w:pPr>
        <w:spacing w:after="0" w:line="242" w:lineRule="exact"/>
        <w:rPr>
          <w:sz w:val="20"/>
          <w:szCs w:val="20"/>
          <w:color w:val="auto"/>
        </w:rPr>
      </w:pPr>
    </w:p>
    <w:tbl>
      <w:tblPr>
        <w:tblLayout w:type="fixed"/>
        <w:tblInd w:w="158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18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231F20"/>
              <w:bottom w:val="single" w:sz="8" w:color="231F20"/>
            </w:tcBorders>
          </w:tcPr>
          <w:p>
            <w:pPr>
              <w:spacing w:after="0"/>
              <w:rPr>
                <w:sz w:val="15"/>
                <w:szCs w:val="15"/>
                <w:color w:val="auto"/>
              </w:rPr>
            </w:pPr>
          </w:p>
        </w:tc>
        <w:tc>
          <w:tcPr>
            <w:tcW w:w="940" w:type="dxa"/>
            <w:vAlign w:val="bottom"/>
            <w:tcBorders>
              <w:top w:val="single" w:sz="8" w:color="231F20"/>
              <w:bottom w:val="single" w:sz="8" w:color="231F20"/>
            </w:tcBorders>
          </w:tcPr>
          <w:p>
            <w:pPr>
              <w:jc w:val="right"/>
              <w:ind w:right="266"/>
              <w:spacing w:after="0" w:line="183" w:lineRule="exact"/>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20" w:type="dxa"/>
            <w:vAlign w:val="bottom"/>
            <w:tcBorders>
              <w:top w:val="single" w:sz="8" w:color="231F20"/>
            </w:tcBorders>
          </w:tcPr>
          <w:p>
            <w:pPr>
              <w:spacing w:after="0"/>
              <w:rPr>
                <w:sz w:val="15"/>
                <w:szCs w:val="15"/>
                <w:color w:val="auto"/>
              </w:rPr>
            </w:pPr>
          </w:p>
        </w:tc>
        <w:tc>
          <w:tcPr>
            <w:tcW w:w="80" w:type="dxa"/>
            <w:vAlign w:val="bottom"/>
            <w:tcBorders>
              <w:top w:val="single" w:sz="8" w:color="231F20"/>
              <w:bottom w:val="single" w:sz="8" w:color="231F20"/>
            </w:tcBorders>
          </w:tcPr>
          <w:p>
            <w:pPr>
              <w:spacing w:after="0"/>
              <w:rPr>
                <w:sz w:val="15"/>
                <w:szCs w:val="15"/>
                <w:color w:val="auto"/>
              </w:rPr>
            </w:pPr>
          </w:p>
        </w:tc>
        <w:tc>
          <w:tcPr>
            <w:tcW w:w="940" w:type="dxa"/>
            <w:vAlign w:val="bottom"/>
            <w:tcBorders>
              <w:top w:val="single" w:sz="8" w:color="231F20"/>
              <w:bottom w:val="single" w:sz="8" w:color="231F20"/>
            </w:tcBorders>
          </w:tcPr>
          <w:p>
            <w:pPr>
              <w:jc w:val="right"/>
              <w:ind w:right="264"/>
              <w:spacing w:after="0" w:line="183" w:lineRule="exact"/>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Borders>
              <w:bottom w:val="single" w:sz="8" w:color="231F20"/>
            </w:tcBorders>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488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940" w:type="dxa"/>
            <w:vAlign w:val="bottom"/>
            <w:tcBorders>
              <w:bottom w:val="single" w:sz="8" w:color="E2E3E4"/>
            </w:tcBorders>
          </w:tcPr>
          <w:p>
            <w:pPr>
              <w:jc w:val="right"/>
              <w:ind w:right="86"/>
              <w:spacing w:after="0" w:line="171" w:lineRule="exact"/>
              <w:rPr>
                <w:sz w:val="20"/>
                <w:szCs w:val="20"/>
                <w:color w:val="auto"/>
              </w:rPr>
            </w:pPr>
            <w:r>
              <w:rPr>
                <w:rFonts w:ascii="Times New Roman" w:cs="Times New Roman" w:eastAsia="Times New Roman" w:hAnsi="Times New Roman"/>
                <w:sz w:val="16"/>
                <w:szCs w:val="16"/>
                <w:color w:val="231F20"/>
              </w:rPr>
              <w:t>(in</w:t>
            </w:r>
          </w:p>
        </w:tc>
        <w:tc>
          <w:tcPr>
            <w:tcW w:w="1240" w:type="dxa"/>
            <w:vAlign w:val="bottom"/>
            <w:tcBorders>
              <w:bottom w:val="single" w:sz="8" w:color="E2E3E4"/>
            </w:tcBorders>
            <w:gridSpan w:val="6"/>
          </w:tcPr>
          <w:p>
            <w:pPr>
              <w:jc w:val="right"/>
              <w:ind w:right="619"/>
              <w:spacing w:after="0" w:line="171" w:lineRule="exact"/>
              <w:rPr>
                <w:sz w:val="20"/>
                <w:szCs w:val="20"/>
                <w:color w:val="auto"/>
              </w:rPr>
            </w:pPr>
            <w:r>
              <w:rPr>
                <w:rFonts w:ascii="Times New Roman" w:cs="Times New Roman" w:eastAsia="Times New Roman" w:hAnsi="Times New Roman"/>
                <w:sz w:val="16"/>
                <w:szCs w:val="16"/>
                <w:color w:val="231F20"/>
                <w:w w:val="74"/>
              </w:rPr>
              <w:t>thousands)</w:t>
            </w:r>
          </w:p>
        </w:tc>
        <w:tc>
          <w:tcPr>
            <w:tcW w:w="60" w:type="dxa"/>
            <w:vAlign w:val="bottom"/>
            <w:tcBorders>
              <w:bottom w:val="single" w:sz="8" w:color="E2E3E4"/>
            </w:tcBorders>
          </w:tcPr>
          <w:p>
            <w:pPr>
              <w:spacing w:after="0"/>
              <w:rPr>
                <w:sz w:val="14"/>
                <w:szCs w:val="14"/>
                <w:color w:val="auto"/>
              </w:rPr>
            </w:pPr>
          </w:p>
        </w:tc>
      </w:tr>
      <w:tr>
        <w:trPr>
          <w:trHeight w:val="217"/>
        </w:trPr>
        <w:tc>
          <w:tcPr>
            <w:tcW w:w="488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Deferred tax assets:</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r>
      <w:tr>
        <w:trPr>
          <w:trHeight w:val="235"/>
        </w:trPr>
        <w:tc>
          <w:tcPr>
            <w:tcW w:w="4880" w:type="dxa"/>
            <w:vAlign w:val="bottom"/>
            <w:tcBorders>
              <w:bottom w:val="single" w:sz="8" w:color="E2E3E4"/>
            </w:tcBorders>
          </w:tcPr>
          <w:p>
            <w:pPr>
              <w:ind w:left="180"/>
              <w:spacing w:after="0"/>
              <w:rPr>
                <w:sz w:val="20"/>
                <w:szCs w:val="20"/>
                <w:color w:val="auto"/>
              </w:rPr>
            </w:pPr>
            <w:r>
              <w:rPr>
                <w:rFonts w:ascii="Times New Roman" w:cs="Times New Roman" w:eastAsia="Times New Roman" w:hAnsi="Times New Roman"/>
                <w:sz w:val="19"/>
                <w:szCs w:val="19"/>
                <w:color w:val="231F20"/>
              </w:rPr>
              <w:t>Net operating loss carryforwards</w:t>
            </w: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243,030</w:t>
            </w:r>
          </w:p>
        </w:tc>
        <w:tc>
          <w:tcPr>
            <w:tcW w:w="80" w:type="dxa"/>
            <w:vAlign w:val="bottom"/>
            <w:tcBorders>
              <w:bottom w:val="single" w:sz="8" w:color="E2E3E4"/>
            </w:tcBorders>
          </w:tcPr>
          <w:p>
            <w:pPr>
              <w:spacing w:after="0"/>
              <w:rPr>
                <w:sz w:val="20"/>
                <w:szCs w:val="20"/>
                <w:color w:val="auto"/>
              </w:rPr>
            </w:pPr>
          </w:p>
        </w:tc>
        <w:tc>
          <w:tcPr>
            <w:tcW w:w="20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177,639</w:t>
            </w:r>
          </w:p>
        </w:tc>
        <w:tc>
          <w:tcPr>
            <w:tcW w:w="20" w:type="dxa"/>
            <w:vAlign w:val="bottom"/>
            <w:tcBorders>
              <w:bottom w:val="single" w:sz="8" w:color="E2E3E4"/>
            </w:tcBorders>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r>
      <w:tr>
        <w:trPr>
          <w:trHeight w:val="217"/>
        </w:trPr>
        <w:tc>
          <w:tcPr>
            <w:tcW w:w="4880" w:type="dxa"/>
            <w:vAlign w:val="bottom"/>
            <w:shd w:val="clear" w:color="auto" w:fill="E2E3E4"/>
          </w:tcPr>
          <w:p>
            <w:pPr>
              <w:ind w:left="180"/>
              <w:spacing w:after="0" w:line="217" w:lineRule="exact"/>
              <w:rPr>
                <w:sz w:val="20"/>
                <w:szCs w:val="20"/>
                <w:color w:val="auto"/>
              </w:rPr>
            </w:pPr>
            <w:r>
              <w:rPr>
                <w:rFonts w:ascii="Times New Roman" w:cs="Times New Roman" w:eastAsia="Times New Roman" w:hAnsi="Times New Roman"/>
                <w:sz w:val="19"/>
                <w:szCs w:val="19"/>
                <w:color w:val="231F20"/>
              </w:rPr>
              <w:t>Federal and state tax credits</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24,462</w:t>
            </w:r>
          </w:p>
        </w:tc>
        <w:tc>
          <w:tcPr>
            <w:tcW w:w="8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15,800</w:t>
            </w:r>
          </w:p>
        </w:tc>
        <w:tc>
          <w:tcPr>
            <w:tcW w:w="20" w:type="dxa"/>
            <w:vAlign w:val="bottom"/>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r>
      <w:tr>
        <w:trPr>
          <w:trHeight w:val="237"/>
        </w:trPr>
        <w:tc>
          <w:tcPr>
            <w:tcW w:w="4880" w:type="dxa"/>
            <w:vAlign w:val="bottom"/>
            <w:tcBorders>
              <w:bottom w:val="single" w:sz="8" w:color="E2E3E4"/>
            </w:tcBorders>
          </w:tcPr>
          <w:p>
            <w:pPr>
              <w:ind w:left="180"/>
              <w:spacing w:after="0"/>
              <w:rPr>
                <w:sz w:val="20"/>
                <w:szCs w:val="20"/>
                <w:color w:val="auto"/>
              </w:rPr>
            </w:pPr>
            <w:r>
              <w:rPr>
                <w:rFonts w:ascii="Times New Roman" w:cs="Times New Roman" w:eastAsia="Times New Roman" w:hAnsi="Times New Roman"/>
                <w:sz w:val="19"/>
                <w:szCs w:val="19"/>
                <w:color w:val="231F20"/>
              </w:rPr>
              <w:t>Share-based compensation</w:t>
            </w:r>
          </w:p>
        </w:tc>
        <w:tc>
          <w:tcPr>
            <w:tcW w:w="120" w:type="dxa"/>
            <w:vAlign w:val="bottom"/>
            <w:tcBorders>
              <w:bottom w:val="single" w:sz="8" w:color="E2E3E4"/>
            </w:tcBorders>
            <w:gridSpan w:val="2"/>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9,797</w:t>
            </w:r>
          </w:p>
        </w:tc>
        <w:tc>
          <w:tcPr>
            <w:tcW w:w="8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8,649</w:t>
            </w:r>
          </w:p>
        </w:tc>
        <w:tc>
          <w:tcPr>
            <w:tcW w:w="20" w:type="dxa"/>
            <w:vAlign w:val="bottom"/>
            <w:tcBorders>
              <w:bottom w:val="single" w:sz="8" w:color="E2E3E4"/>
            </w:tcBorders>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r>
      <w:tr>
        <w:trPr>
          <w:trHeight w:val="215"/>
        </w:trPr>
        <w:tc>
          <w:tcPr>
            <w:tcW w:w="4880" w:type="dxa"/>
            <w:vAlign w:val="bottom"/>
            <w:shd w:val="clear" w:color="auto" w:fill="E2E3E4"/>
          </w:tcPr>
          <w:p>
            <w:pPr>
              <w:ind w:left="180"/>
              <w:spacing w:after="0" w:line="215" w:lineRule="exact"/>
              <w:rPr>
                <w:sz w:val="20"/>
                <w:szCs w:val="20"/>
                <w:color w:val="auto"/>
              </w:rPr>
            </w:pPr>
            <w:r>
              <w:rPr>
                <w:rFonts w:ascii="Times New Roman" w:cs="Times New Roman" w:eastAsia="Times New Roman" w:hAnsi="Times New Roman"/>
                <w:sz w:val="19"/>
                <w:szCs w:val="19"/>
                <w:color w:val="231F20"/>
              </w:rPr>
              <w:t>Accumulated amortization</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465</w:t>
            </w:r>
          </w:p>
        </w:tc>
        <w:tc>
          <w:tcPr>
            <w:tcW w:w="8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578</w:t>
            </w:r>
          </w:p>
        </w:tc>
        <w:tc>
          <w:tcPr>
            <w:tcW w:w="20" w:type="dxa"/>
            <w:vAlign w:val="bottom"/>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r>
      <w:tr>
        <w:trPr>
          <w:trHeight w:val="237"/>
        </w:trPr>
        <w:tc>
          <w:tcPr>
            <w:tcW w:w="4880" w:type="dxa"/>
            <w:vAlign w:val="bottom"/>
            <w:tcBorders>
              <w:bottom w:val="single" w:sz="8" w:color="E2E3E4"/>
            </w:tcBorders>
          </w:tcPr>
          <w:p>
            <w:pPr>
              <w:ind w:left="180"/>
              <w:spacing w:after="0"/>
              <w:rPr>
                <w:sz w:val="20"/>
                <w:szCs w:val="20"/>
                <w:color w:val="auto"/>
              </w:rPr>
            </w:pPr>
            <w:r>
              <w:rPr>
                <w:rFonts w:ascii="Times New Roman" w:cs="Times New Roman" w:eastAsia="Times New Roman" w:hAnsi="Times New Roman"/>
                <w:sz w:val="19"/>
                <w:szCs w:val="19"/>
                <w:color w:val="231F20"/>
              </w:rPr>
              <w:t>Operating lease liabilities</w:t>
            </w:r>
          </w:p>
        </w:tc>
        <w:tc>
          <w:tcPr>
            <w:tcW w:w="120" w:type="dxa"/>
            <w:vAlign w:val="bottom"/>
            <w:tcBorders>
              <w:bottom w:val="single" w:sz="8" w:color="E2E3E4"/>
            </w:tcBorders>
            <w:gridSpan w:val="2"/>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4,354</w:t>
            </w:r>
          </w:p>
        </w:tc>
        <w:tc>
          <w:tcPr>
            <w:tcW w:w="8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6,626</w:t>
            </w:r>
          </w:p>
        </w:tc>
        <w:tc>
          <w:tcPr>
            <w:tcW w:w="20" w:type="dxa"/>
            <w:vAlign w:val="bottom"/>
            <w:tcBorders>
              <w:bottom w:val="single" w:sz="8" w:color="E2E3E4"/>
            </w:tcBorders>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r>
      <w:tr>
        <w:trPr>
          <w:trHeight w:val="217"/>
        </w:trPr>
        <w:tc>
          <w:tcPr>
            <w:tcW w:w="4880" w:type="dxa"/>
            <w:vAlign w:val="bottom"/>
            <w:shd w:val="clear" w:color="auto" w:fill="E2E3E4"/>
          </w:tcPr>
          <w:p>
            <w:pPr>
              <w:ind w:left="180"/>
              <w:spacing w:after="0" w:line="217" w:lineRule="exact"/>
              <w:rPr>
                <w:sz w:val="20"/>
                <w:szCs w:val="20"/>
                <w:color w:val="auto"/>
              </w:rPr>
            </w:pPr>
            <w:r>
              <w:rPr>
                <w:rFonts w:ascii="Times New Roman" w:cs="Times New Roman" w:eastAsia="Times New Roman" w:hAnsi="Times New Roman"/>
                <w:sz w:val="19"/>
                <w:szCs w:val="19"/>
                <w:color w:val="231F20"/>
              </w:rPr>
              <w:t>Deferred revenue</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5,445</w:t>
            </w:r>
          </w:p>
        </w:tc>
        <w:tc>
          <w:tcPr>
            <w:tcW w:w="8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8,836</w:t>
            </w:r>
          </w:p>
        </w:tc>
        <w:tc>
          <w:tcPr>
            <w:tcW w:w="20" w:type="dxa"/>
            <w:vAlign w:val="bottom"/>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r>
      <w:tr>
        <w:trPr>
          <w:trHeight w:val="235"/>
        </w:trPr>
        <w:tc>
          <w:tcPr>
            <w:tcW w:w="4880" w:type="dxa"/>
            <w:vAlign w:val="bottom"/>
            <w:tcBorders>
              <w:bottom w:val="single" w:sz="8" w:color="E2E3E4"/>
            </w:tcBorders>
          </w:tcPr>
          <w:p>
            <w:pPr>
              <w:ind w:left="180"/>
              <w:spacing w:after="0"/>
              <w:rPr>
                <w:sz w:val="20"/>
                <w:szCs w:val="20"/>
                <w:color w:val="auto"/>
              </w:rPr>
            </w:pPr>
            <w:r>
              <w:rPr>
                <w:rFonts w:ascii="Times New Roman" w:cs="Times New Roman" w:eastAsia="Times New Roman" w:hAnsi="Times New Roman"/>
                <w:sz w:val="19"/>
                <w:szCs w:val="19"/>
                <w:color w:val="231F20"/>
              </w:rPr>
              <w:t>Capitalized research and development</w:t>
            </w:r>
          </w:p>
        </w:tc>
        <w:tc>
          <w:tcPr>
            <w:tcW w:w="120" w:type="dxa"/>
            <w:vAlign w:val="bottom"/>
            <w:tcBorders>
              <w:bottom w:val="single" w:sz="8" w:color="E2E3E4"/>
            </w:tcBorders>
            <w:gridSpan w:val="2"/>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35,255</w:t>
            </w:r>
          </w:p>
        </w:tc>
        <w:tc>
          <w:tcPr>
            <w:tcW w:w="8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54,035</w:t>
            </w:r>
          </w:p>
        </w:tc>
        <w:tc>
          <w:tcPr>
            <w:tcW w:w="20" w:type="dxa"/>
            <w:vAlign w:val="bottom"/>
            <w:tcBorders>
              <w:bottom w:val="single" w:sz="8" w:color="E2E3E4"/>
            </w:tcBorders>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r>
      <w:tr>
        <w:trPr>
          <w:trHeight w:val="217"/>
        </w:trPr>
        <w:tc>
          <w:tcPr>
            <w:tcW w:w="4880" w:type="dxa"/>
            <w:vAlign w:val="bottom"/>
            <w:shd w:val="clear" w:color="auto" w:fill="E2E3E4"/>
          </w:tcPr>
          <w:p>
            <w:pPr>
              <w:ind w:left="180"/>
              <w:spacing w:after="0" w:line="217" w:lineRule="exact"/>
              <w:rPr>
                <w:sz w:val="20"/>
                <w:szCs w:val="20"/>
                <w:color w:val="auto"/>
              </w:rPr>
            </w:pPr>
            <w:r>
              <w:rPr>
                <w:rFonts w:ascii="Times New Roman" w:cs="Times New Roman" w:eastAsia="Times New Roman" w:hAnsi="Times New Roman"/>
                <w:sz w:val="19"/>
                <w:szCs w:val="19"/>
                <w:color w:val="231F20"/>
              </w:rPr>
              <w:t>Accumulated depreciation</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4,118</w:t>
            </w:r>
          </w:p>
        </w:tc>
        <w:tc>
          <w:tcPr>
            <w:tcW w:w="8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3,873</w:t>
            </w:r>
          </w:p>
        </w:tc>
        <w:tc>
          <w:tcPr>
            <w:tcW w:w="20" w:type="dxa"/>
            <w:vAlign w:val="bottom"/>
            <w:shd w:val="clear" w:color="auto" w:fill="E2E3E4"/>
          </w:tcPr>
          <w:p>
            <w:pPr>
              <w:spacing w:after="0"/>
              <w:rPr>
                <w:sz w:val="18"/>
                <w:szCs w:val="18"/>
                <w:color w:val="auto"/>
              </w:rPr>
            </w:pPr>
          </w:p>
        </w:tc>
        <w:tc>
          <w:tcPr>
            <w:tcW w:w="60" w:type="dxa"/>
            <w:vAlign w:val="bottom"/>
            <w:shd w:val="clear" w:color="auto" w:fill="E2E3E4"/>
          </w:tcPr>
          <w:p>
            <w:pPr>
              <w:spacing w:after="0"/>
              <w:rPr>
                <w:sz w:val="18"/>
                <w:szCs w:val="18"/>
                <w:color w:val="auto"/>
              </w:rPr>
            </w:pPr>
          </w:p>
        </w:tc>
      </w:tr>
      <w:tr>
        <w:trPr>
          <w:trHeight w:val="262"/>
        </w:trPr>
        <w:tc>
          <w:tcPr>
            <w:tcW w:w="4880" w:type="dxa"/>
            <w:vAlign w:val="bottom"/>
            <w:tcBorders>
              <w:bottom w:val="single" w:sz="8" w:color="E2E3E4"/>
            </w:tcBorders>
          </w:tcPr>
          <w:p>
            <w:pPr>
              <w:ind w:left="180"/>
              <w:spacing w:after="0"/>
              <w:rPr>
                <w:sz w:val="20"/>
                <w:szCs w:val="20"/>
                <w:color w:val="auto"/>
              </w:rPr>
            </w:pPr>
            <w:r>
              <w:rPr>
                <w:rFonts w:ascii="Times New Roman" w:cs="Times New Roman" w:eastAsia="Times New Roman" w:hAnsi="Times New Roman"/>
                <w:sz w:val="19"/>
                <w:szCs w:val="19"/>
                <w:color w:val="231F20"/>
              </w:rPr>
              <w:t>Other</w:t>
            </w:r>
          </w:p>
        </w:tc>
        <w:tc>
          <w:tcPr>
            <w:tcW w:w="120" w:type="dxa"/>
            <w:vAlign w:val="bottom"/>
            <w:tcBorders>
              <w:bottom w:val="single" w:sz="8" w:color="E2E3E4"/>
            </w:tcBorders>
            <w:gridSpan w:val="2"/>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2,821</w:t>
            </w:r>
          </w:p>
        </w:tc>
        <w:tc>
          <w:tcPr>
            <w:tcW w:w="80" w:type="dxa"/>
            <w:vAlign w:val="bottom"/>
            <w:tcBorders>
              <w:bottom w:val="single" w:sz="8" w:color="E2E3E4"/>
            </w:tcBorders>
          </w:tcPr>
          <w:p>
            <w:pPr>
              <w:spacing w:after="0"/>
              <w:rPr>
                <w:sz w:val="22"/>
                <w:szCs w:val="22"/>
                <w:color w:val="auto"/>
              </w:rPr>
            </w:pPr>
          </w:p>
        </w:tc>
        <w:tc>
          <w:tcPr>
            <w:tcW w:w="10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942</w:t>
            </w:r>
          </w:p>
        </w:tc>
        <w:tc>
          <w:tcPr>
            <w:tcW w:w="20" w:type="dxa"/>
            <w:vAlign w:val="bottom"/>
            <w:tcBorders>
              <w:bottom w:val="single" w:sz="8" w:color="E2E3E4"/>
            </w:tcBorders>
          </w:tcPr>
          <w:p>
            <w:pPr>
              <w:spacing w:after="0"/>
              <w:rPr>
                <w:sz w:val="22"/>
                <w:szCs w:val="22"/>
                <w:color w:val="auto"/>
              </w:rPr>
            </w:pPr>
          </w:p>
        </w:tc>
        <w:tc>
          <w:tcPr>
            <w:tcW w:w="60" w:type="dxa"/>
            <w:vAlign w:val="bottom"/>
            <w:tcBorders>
              <w:bottom w:val="single" w:sz="8" w:color="E2E3E4"/>
            </w:tcBorders>
          </w:tcPr>
          <w:p>
            <w:pPr>
              <w:spacing w:after="0"/>
              <w:rPr>
                <w:sz w:val="22"/>
                <w:szCs w:val="22"/>
                <w:color w:val="auto"/>
              </w:rPr>
            </w:pPr>
          </w:p>
        </w:tc>
      </w:tr>
      <w:tr>
        <w:trPr>
          <w:trHeight w:val="204"/>
        </w:trPr>
        <w:tc>
          <w:tcPr>
            <w:tcW w:w="4880" w:type="dxa"/>
            <w:vAlign w:val="bottom"/>
            <w:tcBorders>
              <w:top w:val="single" w:sz="8" w:color="E2E3E4"/>
            </w:tcBorders>
            <w:shd w:val="clear" w:color="auto" w:fill="E2E3E4"/>
          </w:tcPr>
          <w:p>
            <w:pPr>
              <w:spacing w:after="0" w:line="204" w:lineRule="exact"/>
              <w:rPr>
                <w:sz w:val="20"/>
                <w:szCs w:val="20"/>
                <w:color w:val="auto"/>
              </w:rPr>
            </w:pPr>
            <w:r>
              <w:rPr>
                <w:rFonts w:ascii="Times New Roman" w:cs="Times New Roman" w:eastAsia="Times New Roman" w:hAnsi="Times New Roman"/>
                <w:sz w:val="19"/>
                <w:szCs w:val="19"/>
                <w:color w:val="231F20"/>
              </w:rPr>
              <w:t>Total deferred tax assets</w:t>
            </w: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80" w:type="dxa"/>
            <w:vAlign w:val="bottom"/>
            <w:tcBorders>
              <w:top w:val="single" w:sz="8" w:color="E2E3E4"/>
            </w:tcBorders>
            <w:shd w:val="clear" w:color="auto" w:fill="E2E3E4"/>
          </w:tcPr>
          <w:p>
            <w:pPr>
              <w:spacing w:after="0"/>
              <w:rPr>
                <w:sz w:val="17"/>
                <w:szCs w:val="17"/>
                <w:color w:val="auto"/>
              </w:rPr>
            </w:pPr>
          </w:p>
        </w:tc>
        <w:tc>
          <w:tcPr>
            <w:tcW w:w="940" w:type="dxa"/>
            <w:vAlign w:val="bottom"/>
            <w:tcBorders>
              <w:top w:val="single" w:sz="8" w:color="E2E3E4"/>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rPr>
              <w:t>329,747</w:t>
            </w:r>
          </w:p>
        </w:tc>
        <w:tc>
          <w:tcPr>
            <w:tcW w:w="80" w:type="dxa"/>
            <w:vAlign w:val="bottom"/>
            <w:tcBorders>
              <w:top w:val="single" w:sz="8" w:color="E2E3E4"/>
            </w:tcBorders>
            <w:shd w:val="clear" w:color="auto" w:fill="E2E3E4"/>
          </w:tcPr>
          <w:p>
            <w:pPr>
              <w:spacing w:after="0"/>
              <w:rPr>
                <w:sz w:val="17"/>
                <w:szCs w:val="17"/>
                <w:color w:val="auto"/>
              </w:rPr>
            </w:pP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80" w:type="dxa"/>
            <w:vAlign w:val="bottom"/>
            <w:tcBorders>
              <w:top w:val="single" w:sz="8" w:color="E2E3E4"/>
            </w:tcBorders>
            <w:shd w:val="clear" w:color="auto" w:fill="E2E3E4"/>
          </w:tcPr>
          <w:p>
            <w:pPr>
              <w:spacing w:after="0"/>
              <w:rPr>
                <w:sz w:val="17"/>
                <w:szCs w:val="17"/>
                <w:color w:val="auto"/>
              </w:rPr>
            </w:pPr>
          </w:p>
        </w:tc>
        <w:tc>
          <w:tcPr>
            <w:tcW w:w="940" w:type="dxa"/>
            <w:vAlign w:val="bottom"/>
            <w:tcBorders>
              <w:top w:val="single" w:sz="8" w:color="E2E3E4"/>
            </w:tcBorders>
            <w:shd w:val="clear" w:color="auto" w:fill="E2E3E4"/>
          </w:tcPr>
          <w:p>
            <w:pPr>
              <w:jc w:val="right"/>
              <w:spacing w:after="0" w:line="204" w:lineRule="exact"/>
              <w:rPr>
                <w:sz w:val="20"/>
                <w:szCs w:val="20"/>
                <w:color w:val="auto"/>
              </w:rPr>
            </w:pPr>
            <w:r>
              <w:rPr>
                <w:rFonts w:ascii="Times New Roman" w:cs="Times New Roman" w:eastAsia="Times New Roman" w:hAnsi="Times New Roman"/>
                <w:sz w:val="19"/>
                <w:szCs w:val="19"/>
                <w:color w:val="231F20"/>
              </w:rPr>
              <w:t>276,978</w:t>
            </w:r>
          </w:p>
        </w:tc>
        <w:tc>
          <w:tcPr>
            <w:tcW w:w="20" w:type="dxa"/>
            <w:vAlign w:val="bottom"/>
            <w:tcBorders>
              <w:top w:val="single" w:sz="8" w:color="E2E3E4"/>
            </w:tcBorders>
            <w:shd w:val="clear" w:color="auto" w:fill="E2E3E4"/>
          </w:tcPr>
          <w:p>
            <w:pPr>
              <w:spacing w:after="0"/>
              <w:rPr>
                <w:sz w:val="17"/>
                <w:szCs w:val="17"/>
                <w:color w:val="auto"/>
              </w:rPr>
            </w:pPr>
          </w:p>
        </w:tc>
        <w:tc>
          <w:tcPr>
            <w:tcW w:w="60" w:type="dxa"/>
            <w:vAlign w:val="bottom"/>
            <w:tcBorders>
              <w:top w:val="single" w:sz="8" w:color="E2E3E4"/>
            </w:tcBorders>
            <w:shd w:val="clear" w:color="auto" w:fill="E2E3E4"/>
          </w:tcPr>
          <w:p>
            <w:pPr>
              <w:spacing w:after="0"/>
              <w:rPr>
                <w:sz w:val="17"/>
                <w:szCs w:val="17"/>
                <w:color w:val="auto"/>
              </w:rPr>
            </w:pPr>
          </w:p>
        </w:tc>
      </w:tr>
      <w:tr>
        <w:trPr>
          <w:trHeight w:val="262"/>
        </w:trPr>
        <w:tc>
          <w:tcPr>
            <w:tcW w:w="488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Valuation allowance</w:t>
            </w:r>
          </w:p>
        </w:tc>
        <w:tc>
          <w:tcPr>
            <w:tcW w:w="10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(326,689</w:t>
            </w:r>
          </w:p>
        </w:tc>
        <w:tc>
          <w:tcPr>
            <w:tcW w:w="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highlight w:val="white"/>
                <w:w w:val="94"/>
              </w:rPr>
              <w:t>)</w:t>
            </w:r>
          </w:p>
        </w:tc>
        <w:tc>
          <w:tcPr>
            <w:tcW w:w="10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(272,313</w:t>
            </w:r>
          </w:p>
        </w:tc>
        <w:tc>
          <w:tcPr>
            <w:tcW w:w="80" w:type="dxa"/>
            <w:vAlign w:val="bottom"/>
            <w:tcBorders>
              <w:bottom w:val="single" w:sz="8" w:color="E2E3E4"/>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231F20"/>
                <w:highlight w:val="white"/>
                <w:w w:val="74"/>
              </w:rPr>
              <w:t>)</w:t>
            </w:r>
          </w:p>
        </w:tc>
      </w:tr>
      <w:tr>
        <w:trPr>
          <w:trHeight w:val="207"/>
        </w:trPr>
        <w:tc>
          <w:tcPr>
            <w:tcW w:w="4880" w:type="dxa"/>
            <w:vAlign w:val="bottom"/>
            <w:tcBorders>
              <w:top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Net deferred tax assets</w:t>
            </w: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80" w:type="dxa"/>
            <w:vAlign w:val="bottom"/>
            <w:tcBorders>
              <w:top w:val="single" w:sz="8" w:color="E2E3E4"/>
            </w:tcBorders>
            <w:shd w:val="clear" w:color="auto" w:fill="E2E3E4"/>
          </w:tcPr>
          <w:p>
            <w:pPr>
              <w:spacing w:after="0"/>
              <w:rPr>
                <w:sz w:val="17"/>
                <w:szCs w:val="17"/>
                <w:color w:val="auto"/>
              </w:rPr>
            </w:pPr>
          </w:p>
        </w:tc>
        <w:tc>
          <w:tcPr>
            <w:tcW w:w="940" w:type="dxa"/>
            <w:vAlign w:val="bottom"/>
            <w:tcBorders>
              <w:top w:val="single" w:sz="8" w:color="E2E3E4"/>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3,058</w:t>
            </w:r>
          </w:p>
        </w:tc>
        <w:tc>
          <w:tcPr>
            <w:tcW w:w="80" w:type="dxa"/>
            <w:vAlign w:val="bottom"/>
            <w:tcBorders>
              <w:top w:val="single" w:sz="8" w:color="E2E3E4"/>
            </w:tcBorders>
            <w:shd w:val="clear" w:color="auto" w:fill="E2E3E4"/>
          </w:tcPr>
          <w:p>
            <w:pPr>
              <w:spacing w:after="0"/>
              <w:rPr>
                <w:sz w:val="17"/>
                <w:szCs w:val="17"/>
                <w:color w:val="auto"/>
              </w:rPr>
            </w:pP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80" w:type="dxa"/>
            <w:vAlign w:val="bottom"/>
            <w:tcBorders>
              <w:top w:val="single" w:sz="8" w:color="E2E3E4"/>
            </w:tcBorders>
            <w:shd w:val="clear" w:color="auto" w:fill="E2E3E4"/>
          </w:tcPr>
          <w:p>
            <w:pPr>
              <w:spacing w:after="0"/>
              <w:rPr>
                <w:sz w:val="17"/>
                <w:szCs w:val="17"/>
                <w:color w:val="auto"/>
              </w:rPr>
            </w:pPr>
          </w:p>
        </w:tc>
        <w:tc>
          <w:tcPr>
            <w:tcW w:w="940" w:type="dxa"/>
            <w:vAlign w:val="bottom"/>
            <w:tcBorders>
              <w:top w:val="single" w:sz="8" w:color="E2E3E4"/>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4,665</w:t>
            </w:r>
          </w:p>
        </w:tc>
        <w:tc>
          <w:tcPr>
            <w:tcW w:w="20" w:type="dxa"/>
            <w:vAlign w:val="bottom"/>
            <w:tcBorders>
              <w:top w:val="single" w:sz="8" w:color="E2E3E4"/>
            </w:tcBorders>
            <w:shd w:val="clear" w:color="auto" w:fill="E2E3E4"/>
          </w:tcPr>
          <w:p>
            <w:pPr>
              <w:spacing w:after="0"/>
              <w:rPr>
                <w:sz w:val="17"/>
                <w:szCs w:val="17"/>
                <w:color w:val="auto"/>
              </w:rPr>
            </w:pPr>
          </w:p>
        </w:tc>
        <w:tc>
          <w:tcPr>
            <w:tcW w:w="60" w:type="dxa"/>
            <w:vAlign w:val="bottom"/>
            <w:tcBorders>
              <w:top w:val="single" w:sz="8" w:color="E2E3E4"/>
            </w:tcBorders>
            <w:shd w:val="clear" w:color="auto" w:fill="E2E3E4"/>
          </w:tcPr>
          <w:p>
            <w:pPr>
              <w:spacing w:after="0"/>
              <w:rPr>
                <w:sz w:val="17"/>
                <w:szCs w:val="17"/>
                <w:color w:val="auto"/>
              </w:rPr>
            </w:pPr>
          </w:p>
        </w:tc>
      </w:tr>
      <w:tr>
        <w:trPr>
          <w:trHeight w:val="237"/>
        </w:trPr>
        <w:tc>
          <w:tcPr>
            <w:tcW w:w="488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Deferred tax liabilities:</w:t>
            </w:r>
          </w:p>
        </w:tc>
        <w:tc>
          <w:tcPr>
            <w:tcW w:w="120" w:type="dxa"/>
            <w:vAlign w:val="bottom"/>
            <w:tcBorders>
              <w:bottom w:val="single" w:sz="8" w:color="E2E3E4"/>
            </w:tcBorders>
            <w:gridSpan w:val="2"/>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60" w:type="dxa"/>
            <w:vAlign w:val="bottom"/>
            <w:tcBorders>
              <w:bottom w:val="single" w:sz="8" w:color="E2E3E4"/>
            </w:tcBorders>
          </w:tcPr>
          <w:p>
            <w:pPr>
              <w:spacing w:after="0"/>
              <w:rPr>
                <w:sz w:val="20"/>
                <w:szCs w:val="20"/>
                <w:color w:val="auto"/>
              </w:rPr>
            </w:pPr>
          </w:p>
        </w:tc>
      </w:tr>
      <w:tr>
        <w:trPr>
          <w:trHeight w:val="215"/>
        </w:trPr>
        <w:tc>
          <w:tcPr>
            <w:tcW w:w="4880" w:type="dxa"/>
            <w:vAlign w:val="bottom"/>
            <w:shd w:val="clear" w:color="auto" w:fill="E2E3E4"/>
          </w:tcPr>
          <w:p>
            <w:pPr>
              <w:ind w:left="180"/>
              <w:spacing w:after="0" w:line="215" w:lineRule="exact"/>
              <w:rPr>
                <w:sz w:val="20"/>
                <w:szCs w:val="20"/>
                <w:color w:val="auto"/>
              </w:rPr>
            </w:pPr>
            <w:r>
              <w:rPr>
                <w:rFonts w:ascii="Times New Roman" w:cs="Times New Roman" w:eastAsia="Times New Roman" w:hAnsi="Times New Roman"/>
                <w:sz w:val="19"/>
                <w:szCs w:val="19"/>
                <w:color w:val="231F20"/>
              </w:rPr>
              <w:t>Operating lease right-of-use assets</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(3,054</w:t>
            </w:r>
          </w:p>
        </w:tc>
        <w:tc>
          <w:tcPr>
            <w:tcW w:w="8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4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(4,661</w:t>
            </w:r>
          </w:p>
        </w:tc>
        <w:tc>
          <w:tcPr>
            <w:tcW w:w="80" w:type="dxa"/>
            <w:vAlign w:val="bottom"/>
            <w:gridSpan w:val="2"/>
            <w:shd w:val="clear" w:color="auto" w:fill="E2E3E4"/>
          </w:tcPr>
          <w:p>
            <w:pPr>
              <w:jc w:val="right"/>
              <w:ind w:right="20"/>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257"/>
        </w:trPr>
        <w:tc>
          <w:tcPr>
            <w:tcW w:w="488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Other</w:t>
            </w:r>
          </w:p>
        </w:tc>
        <w:tc>
          <w:tcPr>
            <w:tcW w:w="1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231F20"/>
              </w:rPr>
              <w:t>(4 )</w:t>
            </w:r>
          </w:p>
        </w:tc>
      </w:tr>
      <w:tr>
        <w:trPr>
          <w:trHeight w:val="207"/>
        </w:trPr>
        <w:tc>
          <w:tcPr>
            <w:tcW w:w="4880" w:type="dxa"/>
            <w:vAlign w:val="bottom"/>
            <w:tcBorders>
              <w:top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Total deferred tax liabilities</w:t>
            </w: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80" w:type="dxa"/>
            <w:vAlign w:val="bottom"/>
            <w:tcBorders>
              <w:top w:val="single" w:sz="8" w:color="231F20"/>
              <w:bottom w:val="single" w:sz="8" w:color="231F20"/>
            </w:tcBorders>
            <w:shd w:val="clear" w:color="auto" w:fill="E2E3E4"/>
          </w:tcPr>
          <w:p>
            <w:pPr>
              <w:spacing w:after="0"/>
              <w:rPr>
                <w:sz w:val="17"/>
                <w:szCs w:val="17"/>
                <w:color w:val="auto"/>
              </w:rPr>
            </w:pPr>
          </w:p>
        </w:tc>
        <w:tc>
          <w:tcPr>
            <w:tcW w:w="94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(3,058</w:t>
            </w:r>
          </w:p>
        </w:tc>
        <w:tc>
          <w:tcPr>
            <w:tcW w:w="80" w:type="dxa"/>
            <w:vAlign w:val="bottom"/>
            <w:tcBorders>
              <w:top w:val="single" w:sz="8" w:color="E2E3E4"/>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w w:val="94"/>
                <w:shd w:val="clear" w:color="auto" w:fill="E2E3E4"/>
              </w:rPr>
              <w:t>)</w:t>
            </w: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tcBorders>
            <w:shd w:val="clear" w:color="auto" w:fill="E2E3E4"/>
          </w:tcPr>
          <w:p>
            <w:pPr>
              <w:spacing w:after="0"/>
              <w:rPr>
                <w:sz w:val="17"/>
                <w:szCs w:val="17"/>
                <w:color w:val="auto"/>
              </w:rPr>
            </w:pPr>
          </w:p>
        </w:tc>
        <w:tc>
          <w:tcPr>
            <w:tcW w:w="80" w:type="dxa"/>
            <w:vAlign w:val="bottom"/>
            <w:tcBorders>
              <w:top w:val="single" w:sz="8" w:color="231F20"/>
              <w:bottom w:val="single" w:sz="8" w:color="231F20"/>
            </w:tcBorders>
            <w:shd w:val="clear" w:color="auto" w:fill="E2E3E4"/>
          </w:tcPr>
          <w:p>
            <w:pPr>
              <w:spacing w:after="0"/>
              <w:rPr>
                <w:sz w:val="17"/>
                <w:szCs w:val="17"/>
                <w:color w:val="auto"/>
              </w:rPr>
            </w:pPr>
          </w:p>
        </w:tc>
        <w:tc>
          <w:tcPr>
            <w:tcW w:w="94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(4,665</w:t>
            </w:r>
          </w:p>
        </w:tc>
        <w:tc>
          <w:tcPr>
            <w:tcW w:w="80" w:type="dxa"/>
            <w:vAlign w:val="bottom"/>
            <w:tcBorders>
              <w:top w:val="single" w:sz="8" w:color="E2E3E4"/>
            </w:tcBorders>
            <w:gridSpan w:val="2"/>
            <w:shd w:val="clear" w:color="auto" w:fill="E2E3E4"/>
          </w:tcPr>
          <w:p>
            <w:pPr>
              <w:jc w:val="right"/>
              <w:ind w:right="20"/>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r>
      <w:tr>
        <w:trPr>
          <w:trHeight w:val="227"/>
        </w:trPr>
        <w:tc>
          <w:tcPr>
            <w:tcW w:w="5000" w:type="dxa"/>
            <w:vAlign w:val="bottom"/>
            <w:gridSpan w:val="3"/>
          </w:tcPr>
          <w:p>
            <w:pPr>
              <w:spacing w:after="0"/>
              <w:rPr>
                <w:sz w:val="20"/>
                <w:szCs w:val="20"/>
                <w:color w:val="auto"/>
              </w:rPr>
            </w:pPr>
            <w:r>
              <w:rPr>
                <w:rFonts w:ascii="Times New Roman" w:cs="Times New Roman" w:eastAsia="Times New Roman" w:hAnsi="Times New Roman"/>
                <w:sz w:val="19"/>
                <w:szCs w:val="19"/>
                <w:color w:val="231F20"/>
              </w:rPr>
              <w:t>Net deferred tax assets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gridSpan w:val="2"/>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4172585</wp:posOffset>
                </wp:positionH>
                <wp:positionV relativeFrom="paragraph">
                  <wp:posOffset>-2995930</wp:posOffset>
                </wp:positionV>
                <wp:extent cx="143129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1290" cy="4763"/>
                        </a:xfrm>
                        <a:prstGeom prst="line">
                          <a:avLst/>
                        </a:prstGeom>
                        <a:solidFill>
                          <a:srgbClr val="FFFFFF"/>
                        </a:solidFill>
                        <a:ln w="8868">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55pt,-235.8999pt" to="441.25pt,-235.8999pt" o:allowincell="f" strokecolor="#FFFFFF" strokeweight="0.6983pt"/>
            </w:pict>
          </mc:Fallback>
        </mc:AlternateContent>
        <mc:AlternateContent>
          <mc:Choice Requires="wps">
            <w:drawing>
              <wp:anchor simplePos="0" relativeHeight="251657728" behindDoc="1" locked="0" layoutInCell="0" allowOverlap="1">
                <wp:simplePos x="0" y="0"/>
                <wp:positionH relativeFrom="column">
                  <wp:posOffset>5603875</wp:posOffset>
                </wp:positionH>
                <wp:positionV relativeFrom="paragraph">
                  <wp:posOffset>-2873375</wp:posOffset>
                </wp:positionV>
                <wp:extent cx="5016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8867">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25pt,-226.2499pt" to="445.2pt,-226.2499pt" o:allowincell="f" strokecolor="#FFFFFF" strokeweight="0.6982pt"/>
            </w:pict>
          </mc:Fallback>
        </mc:AlternateContent>
        <mc:AlternateContent>
          <mc:Choice Requires="wps">
            <w:drawing>
              <wp:anchor simplePos="0" relativeHeight="251657728" behindDoc="1" locked="0" layoutInCell="0" allowOverlap="1">
                <wp:simplePos x="0" y="0"/>
                <wp:positionH relativeFrom="column">
                  <wp:posOffset>997585</wp:posOffset>
                </wp:positionH>
                <wp:positionV relativeFrom="paragraph">
                  <wp:posOffset>-1092200</wp:posOffset>
                </wp:positionV>
                <wp:extent cx="465645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6455"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55pt,-86pt" to="445.2pt,-86pt" o:allowincell="f" strokecolor="#FFFFFF" strokeweight="0.698pt"/>
            </w:pict>
          </mc:Fallback>
        </mc:AlternateConten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 roll-forward of the valuation allowance for the years ended December 31, 2025 and 2024 is as follows:</w:t>
      </w:r>
    </w:p>
    <w:p>
      <w:pPr>
        <w:spacing w:after="0" w:line="242" w:lineRule="exact"/>
        <w:rPr>
          <w:sz w:val="20"/>
          <w:szCs w:val="20"/>
          <w:color w:val="auto"/>
        </w:rPr>
      </w:pPr>
    </w:p>
    <w:tbl>
      <w:tblPr>
        <w:tblLayout w:type="fixed"/>
        <w:tblInd w:w="158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7"/>
          </w:tcPr>
          <w:p>
            <w:pPr>
              <w:jc w:val="right"/>
              <w:ind w:right="259"/>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231F20"/>
            </w:tcBorders>
          </w:tcPr>
          <w:p>
            <w:pPr>
              <w:spacing w:after="0" w:line="20" w:lineRule="exact"/>
              <w:rPr>
                <w:sz w:val="1"/>
                <w:szCs w:val="1"/>
                <w:color w:val="auto"/>
              </w:rPr>
            </w:pPr>
          </w:p>
        </w:tc>
        <w:tc>
          <w:tcPr>
            <w:tcW w:w="940" w:type="dxa"/>
            <w:vAlign w:val="bottom"/>
            <w:tcBorders>
              <w:top w:val="single" w:sz="8" w:color="231F20"/>
            </w:tcBorders>
            <w:vMerge w:val="restart"/>
          </w:tcPr>
          <w:p>
            <w:pPr>
              <w:jc w:val="right"/>
              <w:ind w:right="291"/>
              <w:spacing w:after="0" w:line="183" w:lineRule="exact"/>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100" w:type="dxa"/>
            <w:vAlign w:val="bottom"/>
            <w:tcBorders>
              <w:top w:val="single" w:sz="8" w:color="231F20"/>
            </w:tcBorders>
          </w:tcPr>
          <w:p>
            <w:pPr>
              <w:spacing w:after="0" w:line="20" w:lineRule="exact"/>
              <w:rPr>
                <w:sz w:val="1"/>
                <w:szCs w:val="1"/>
                <w:color w:val="auto"/>
              </w:rPr>
            </w:pPr>
          </w:p>
        </w:tc>
        <w:tc>
          <w:tcPr>
            <w:tcW w:w="240" w:type="dxa"/>
            <w:vAlign w:val="bottom"/>
            <w:tcBorders>
              <w:top w:val="single" w:sz="8" w:color="231F20"/>
            </w:tcBorders>
          </w:tcPr>
          <w:p>
            <w:pPr>
              <w:spacing w:after="0" w:line="20" w:lineRule="exact"/>
              <w:rPr>
                <w:sz w:val="1"/>
                <w:szCs w:val="1"/>
                <w:color w:val="auto"/>
              </w:rPr>
            </w:pPr>
          </w:p>
        </w:tc>
        <w:tc>
          <w:tcPr>
            <w:tcW w:w="680" w:type="dxa"/>
            <w:vAlign w:val="bottom"/>
            <w:tcBorders>
              <w:top w:val="single" w:sz="8" w:color="231F20"/>
            </w:tcBorders>
            <w:vMerge w:val="restart"/>
          </w:tcPr>
          <w:p>
            <w:pPr>
              <w:jc w:val="right"/>
              <w:ind w:right="267"/>
              <w:spacing w:after="0" w:line="183" w:lineRule="exact"/>
              <w:rPr>
                <w:sz w:val="20"/>
                <w:szCs w:val="20"/>
                <w:color w:val="auto"/>
              </w:rPr>
            </w:pPr>
            <w:r>
              <w:rPr>
                <w:rFonts w:ascii="Times New Roman" w:cs="Times New Roman" w:eastAsia="Times New Roman" w:hAnsi="Times New Roman"/>
                <w:sz w:val="16"/>
                <w:szCs w:val="16"/>
                <w:b w:val="1"/>
                <w:bCs w:val="1"/>
                <w:color w:val="231F20"/>
                <w:w w:val="93"/>
              </w:rPr>
              <w:t>2024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680" w:type="dxa"/>
            <w:vAlign w:val="bottom"/>
            <w:tcBorders>
              <w:bottom w:val="single" w:sz="8" w:color="231F20"/>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940" w:type="dxa"/>
            <w:vAlign w:val="bottom"/>
            <w:tcBorders>
              <w:bottom w:val="single" w:sz="8" w:color="E2E3E4"/>
            </w:tcBorders>
          </w:tcPr>
          <w:p>
            <w:pPr>
              <w:jc w:val="right"/>
              <w:ind w:right="111"/>
              <w:spacing w:after="0" w:line="171" w:lineRule="exact"/>
              <w:rPr>
                <w:sz w:val="20"/>
                <w:szCs w:val="20"/>
                <w:color w:val="auto"/>
              </w:rPr>
            </w:pPr>
            <w:r>
              <w:rPr>
                <w:rFonts w:ascii="Times New Roman" w:cs="Times New Roman" w:eastAsia="Times New Roman" w:hAnsi="Times New Roman"/>
                <w:sz w:val="16"/>
                <w:szCs w:val="16"/>
                <w:color w:val="231F20"/>
              </w:rPr>
              <w:t>(in</w:t>
            </w:r>
          </w:p>
        </w:tc>
        <w:tc>
          <w:tcPr>
            <w:tcW w:w="520" w:type="dxa"/>
            <w:vAlign w:val="bottom"/>
            <w:tcBorders>
              <w:bottom w:val="single" w:sz="8" w:color="E2E3E4"/>
            </w:tcBorders>
            <w:gridSpan w:val="4"/>
          </w:tcPr>
          <w:p>
            <w:pPr>
              <w:spacing w:after="0" w:line="171" w:lineRule="exact"/>
              <w:rPr>
                <w:sz w:val="20"/>
                <w:szCs w:val="20"/>
                <w:color w:val="auto"/>
              </w:rPr>
            </w:pPr>
            <w:r>
              <w:rPr>
                <w:rFonts w:ascii="Times New Roman" w:cs="Times New Roman" w:eastAsia="Times New Roman" w:hAnsi="Times New Roman"/>
                <w:sz w:val="16"/>
                <w:szCs w:val="16"/>
                <w:color w:val="231F20"/>
                <w:w w:val="72"/>
              </w:rPr>
              <w:t>thousands)</w:t>
            </w:r>
          </w:p>
        </w:tc>
        <w:tc>
          <w:tcPr>
            <w:tcW w:w="68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Balance at beginning of year</w:t>
            </w:r>
          </w:p>
        </w:tc>
        <w:tc>
          <w:tcPr>
            <w:tcW w:w="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4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272,313</w:t>
            </w:r>
          </w:p>
        </w:tc>
        <w:tc>
          <w:tcPr>
            <w:tcW w:w="16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240" w:type="dxa"/>
            <w:vAlign w:val="bottom"/>
            <w:shd w:val="clear" w:color="auto" w:fill="E2E3E4"/>
          </w:tcPr>
          <w:p>
            <w:pPr>
              <w:spacing w:after="0"/>
              <w:rPr>
                <w:sz w:val="18"/>
                <w:szCs w:val="18"/>
                <w:color w:val="auto"/>
              </w:rPr>
            </w:pPr>
          </w:p>
        </w:tc>
        <w:tc>
          <w:tcPr>
            <w:tcW w:w="6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247,193</w:t>
            </w:r>
          </w:p>
        </w:tc>
        <w:tc>
          <w:tcPr>
            <w:tcW w:w="80" w:type="dxa"/>
            <w:vAlign w:val="bottom"/>
            <w:shd w:val="clear" w:color="auto" w:fill="E2E3E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Increase in valuation allowance</w:t>
            </w:r>
          </w:p>
        </w:tc>
        <w:tc>
          <w:tcPr>
            <w:tcW w:w="8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94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54,376</w:t>
            </w:r>
          </w:p>
        </w:tc>
        <w:tc>
          <w:tcPr>
            <w:tcW w:w="16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240" w:type="dxa"/>
            <w:vAlign w:val="bottom"/>
            <w:tcBorders>
              <w:bottom w:val="single" w:sz="8" w:color="E2E3E4"/>
            </w:tcBorders>
          </w:tcPr>
          <w:p>
            <w:pPr>
              <w:spacing w:after="0"/>
              <w:rPr>
                <w:sz w:val="20"/>
                <w:szCs w:val="20"/>
                <w:color w:val="auto"/>
              </w:rPr>
            </w:pPr>
          </w:p>
        </w:tc>
        <w:tc>
          <w:tcPr>
            <w:tcW w:w="6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25,169</w:t>
            </w:r>
          </w:p>
        </w:tc>
        <w:tc>
          <w:tcPr>
            <w:tcW w:w="80" w:type="dxa"/>
            <w:vAlign w:val="bottom"/>
            <w:tcBorders>
              <w:bottom w:val="single" w:sz="8" w:color="E2E3E4"/>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E2E3E4"/>
          </w:tcPr>
          <w:p>
            <w:pPr>
              <w:spacing w:after="0" w:line="215" w:lineRule="exact"/>
              <w:rPr>
                <w:sz w:val="20"/>
                <w:szCs w:val="20"/>
                <w:color w:val="auto"/>
              </w:rPr>
            </w:pPr>
            <w:r>
              <w:rPr>
                <w:rFonts w:ascii="Times New Roman" w:cs="Times New Roman" w:eastAsia="Times New Roman" w:hAnsi="Times New Roman"/>
                <w:sz w:val="19"/>
                <w:szCs w:val="19"/>
                <w:color w:val="231F20"/>
              </w:rPr>
              <w:t>Effect of foreign currency translation</w:t>
            </w:r>
          </w:p>
        </w:tc>
        <w:tc>
          <w:tcPr>
            <w:tcW w:w="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tcBorders>
              <w:bottom w:val="single" w:sz="8" w:color="231F20"/>
            </w:tcBorders>
            <w:shd w:val="clear" w:color="auto" w:fill="E2E3E4"/>
          </w:tcPr>
          <w:p>
            <w:pPr>
              <w:spacing w:after="0"/>
              <w:rPr>
                <w:sz w:val="18"/>
                <w:szCs w:val="18"/>
                <w:color w:val="auto"/>
              </w:rPr>
            </w:pPr>
          </w:p>
        </w:tc>
        <w:tc>
          <w:tcPr>
            <w:tcW w:w="940" w:type="dxa"/>
            <w:vAlign w:val="bottom"/>
            <w:tcBorders>
              <w:bottom w:val="single" w:sz="8" w:color="231F20"/>
            </w:tcBorders>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tcBorders>
              <w:bottom w:val="single" w:sz="8" w:color="231F20"/>
            </w:tcBorders>
            <w:shd w:val="clear" w:color="auto" w:fill="E2E3E4"/>
          </w:tcPr>
          <w:p>
            <w:pPr>
              <w:spacing w:after="0"/>
              <w:rPr>
                <w:sz w:val="18"/>
                <w:szCs w:val="18"/>
                <w:color w:val="auto"/>
              </w:rPr>
            </w:pPr>
          </w:p>
        </w:tc>
        <w:tc>
          <w:tcPr>
            <w:tcW w:w="240" w:type="dxa"/>
            <w:vAlign w:val="bottom"/>
            <w:tcBorders>
              <w:bottom w:val="single" w:sz="8" w:color="231F20"/>
            </w:tcBorders>
            <w:shd w:val="clear" w:color="auto" w:fill="E2E3E4"/>
          </w:tcPr>
          <w:p>
            <w:pPr>
              <w:spacing w:after="0"/>
              <w:rPr>
                <w:sz w:val="18"/>
                <w:szCs w:val="18"/>
                <w:color w:val="auto"/>
              </w:rPr>
            </w:pPr>
          </w:p>
        </w:tc>
        <w:tc>
          <w:tcPr>
            <w:tcW w:w="680" w:type="dxa"/>
            <w:vAlign w:val="bottom"/>
            <w:tcBorders>
              <w:bottom w:val="single" w:sz="8" w:color="231F20"/>
            </w:tcBorders>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(49</w:t>
            </w: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E2E3E4"/>
              </w:rPr>
              <w:t>)</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231F20"/>
              </w:rPr>
              <w:t>Balance at end of year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326,689</w:t>
            </w:r>
          </w:p>
        </w:tc>
        <w:tc>
          <w:tcPr>
            <w:tcW w:w="180" w:type="dxa"/>
            <w:vAlign w:val="bottom"/>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272,313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9"/>
          <w:szCs w:val="19"/>
          <w:color w:val="231F20"/>
        </w:rPr>
        <w:t>As of December 31, 2025, the Company had federal net operating loss carryforwards in the United States of $501.3 million, of which $500.5 million may be available to offset future U.S. federal taxable income indefinitely, while $ 0.8 million of the carryforwards may offset future U.S. federal taxable income through 2037. As of December 31, 2025, the Company had U.S. state net operating loss carryforwards of $150.1 million available to offset future U.S. state taxable income that will begin to expire in 2038. As of December 31, 2025 and 2024, the Company had U.S. federal research and development tax credit carryforwards of $15.1 million and $11.2 million, respectively, available to offset future U.S. federal income taxes and will begin to expire in 2042. As of December 31, 2025 and 2024, the Company had U.S. state research and development tax credit carryforwards of $7.0 million and $4.8 million, respectively, available to offset future U.S. state income taxes and will begin to expire in 2037. As of December 31, 2025 and 2024, the Company had a U.S. orphan drug credit carryforward of $3.7 million and $0.8 million, respectively, available to offset future U.S. federal income taxes that will begin to expire in 2042.</w:t>
      </w:r>
    </w:p>
    <w:p>
      <w:pPr>
        <w:spacing w:after="0" w:line="6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9"/>
          <w:szCs w:val="19"/>
          <w:color w:val="231F20"/>
        </w:rPr>
        <w:t>As of December 31, 2025 and 2024, the Company had net operating loss carryforwards in Japan of $0.1 million and $0.7 million, respectively, which may be available to offset future Japan taxable income and begin to expire in 2027.</w:t>
      </w:r>
    </w:p>
    <w:p>
      <w:pPr>
        <w:spacing w:after="0" w:line="35"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231F20"/>
        </w:rPr>
        <w:t>As of December 31, 2025 and 2024, the Company had net operating loss carryforwards in Singapore of $144.8 million and $132.7 million, respectively, which may be available to offset future Singapore taxable income and can be carried forward indefinitely.</w:t>
      </w:r>
    </w:p>
    <w:p>
      <w:pPr>
        <w:spacing w:after="0" w:line="38"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9"/>
          <w:szCs w:val="19"/>
          <w:color w:val="231F20"/>
        </w:rPr>
        <w:t>As of December 31, 2025 and 2024, the Company had net operating loss carryforwards in the United Kingdom (“UK”) of $414.7 million and $339.5 million, respectively, which may be available to offset future UK taxable income and can be carried forward indefinitely.</w:t>
      </w:r>
    </w:p>
    <w:p>
      <w:pPr>
        <w:spacing w:after="0" w:line="5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231F20"/>
        </w:rPr>
        <w:t>The Company has evaluated the positive and negative evidence bearing upon its ability to realize its deferred tax assets. As of December 31, 2025,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all jurisdictions. Accordingly, a full valuation allowance has been established against the Company's deferred tax assets as of December 31, 2025.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231F20"/>
        </w:rPr>
        <w:t>F-25</w:t>
      </w:r>
    </w:p>
    <w:p>
      <w:pPr>
        <w:sectPr>
          <w:pgSz w:w="11880" w:h="15480" w:orient="portrait"/>
          <w:cols w:equalWidth="0" w:num="1">
            <w:col w:w="10400"/>
          </w:cols>
          <w:pgMar w:left="700" w:top="963" w:right="780" w:bottom="213" w:gutter="0" w:footer="0" w:header="0"/>
        </w:sectPr>
      </w:pPr>
    </w:p>
    <w:bookmarkStart w:id="129" w:name="page130"/>
    <w:bookmarkEnd w:id="129"/>
    <w:p>
      <w:pPr>
        <w:ind w:right="200"/>
        <w:spacing w:after="0" w:line="259" w:lineRule="auto"/>
        <w:rPr>
          <w:sz w:val="20"/>
          <w:szCs w:val="20"/>
          <w:color w:val="auto"/>
        </w:rPr>
      </w:pPr>
      <w:r>
        <w:rPr>
          <w:rFonts w:ascii="Times New Roman" w:cs="Times New Roman" w:eastAsia="Times New Roman" w:hAnsi="Times New Roman"/>
          <w:sz w:val="19"/>
          <w:szCs w:val="19"/>
          <w:color w:val="231F20"/>
        </w:rPr>
        <w:t>The valuation allowance increased by $54.4 million in 2025. The increase in the valuation allowance for 2025 was primarily a result of operating losses generated with no corresponding financial statement benefit. The Company may release this valuation allowance when management determines that it is more-likely-than-not that the deferred tax assets will be realized. Any release of valuation allowance will be recorded as a tax benefit either increasing net income or decreasing net loss.</w:t>
      </w:r>
    </w:p>
    <w:p>
      <w:pPr>
        <w:spacing w:after="0" w:line="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The Company’s reserves related to income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 summary of activity in the Company’s gross unrecognized tax benefits, excluding interest and penalties, is as follows:</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Borders>
              <w:bottom w:val="single" w:sz="8" w:color="231F20"/>
            </w:tcBorders>
          </w:tcPr>
          <w:p>
            <w:pPr>
              <w:spacing w:after="0"/>
              <w:rPr>
                <w:sz w:val="17"/>
                <w:szCs w:val="17"/>
                <w:color w:val="auto"/>
              </w:rPr>
            </w:pPr>
          </w:p>
        </w:tc>
        <w:tc>
          <w:tcPr>
            <w:tcW w:w="91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7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7"/>
                <w:szCs w:val="17"/>
                <w:color w:val="auto"/>
              </w:rPr>
            </w:pPr>
          </w:p>
        </w:tc>
      </w:tr>
      <w:tr>
        <w:trPr>
          <w:trHeight w:val="171"/>
        </w:trPr>
        <w:tc>
          <w:tcPr>
            <w:tcW w:w="4820" w:type="dxa"/>
            <w:vAlign w:val="bottom"/>
            <w:tcBorders>
              <w:bottom w:val="single" w:sz="8" w:color="E2E3E4"/>
            </w:tcBorders>
          </w:tcPr>
          <w:p>
            <w:pPr>
              <w:spacing w:after="0"/>
              <w:rPr>
                <w:sz w:val="14"/>
                <w:szCs w:val="14"/>
                <w:color w:val="auto"/>
              </w:rPr>
            </w:pPr>
          </w:p>
        </w:tc>
        <w:tc>
          <w:tcPr>
            <w:tcW w:w="10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90" w:type="dxa"/>
            <w:vAlign w:val="bottom"/>
            <w:tcBorders>
              <w:bottom w:val="single" w:sz="8" w:color="E2E3E4"/>
            </w:tcBorders>
          </w:tcPr>
          <w:p>
            <w:pPr>
              <w:spacing w:after="0"/>
              <w:rPr>
                <w:sz w:val="14"/>
                <w:szCs w:val="14"/>
                <w:color w:val="auto"/>
              </w:rPr>
            </w:pPr>
          </w:p>
        </w:tc>
        <w:tc>
          <w:tcPr>
            <w:tcW w:w="910" w:type="dxa"/>
            <w:vAlign w:val="bottom"/>
            <w:tcBorders>
              <w:bottom w:val="single" w:sz="8" w:color="E2E3E4"/>
            </w:tcBorders>
          </w:tcPr>
          <w:p>
            <w:pPr>
              <w:spacing w:after="0"/>
              <w:rPr>
                <w:sz w:val="14"/>
                <w:szCs w:val="14"/>
                <w:color w:val="auto"/>
              </w:rPr>
            </w:pPr>
          </w:p>
        </w:tc>
        <w:tc>
          <w:tcPr>
            <w:tcW w:w="70" w:type="dxa"/>
            <w:vAlign w:val="bottom"/>
            <w:tcBorders>
              <w:bottom w:val="single" w:sz="8" w:color="E2E3E4"/>
            </w:tcBorders>
          </w:tcPr>
          <w:p>
            <w:pPr>
              <w:spacing w:after="0"/>
              <w:rPr>
                <w:sz w:val="14"/>
                <w:szCs w:val="14"/>
                <w:color w:val="auto"/>
              </w:rPr>
            </w:pPr>
          </w:p>
        </w:tc>
        <w:tc>
          <w:tcPr>
            <w:tcW w:w="9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1000" w:type="dxa"/>
            <w:vAlign w:val="bottom"/>
            <w:tcBorders>
              <w:bottom w:val="single" w:sz="8" w:color="E2E3E4"/>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231F20"/>
              </w:rPr>
              <w:t>(in thousands)</w:t>
            </w:r>
          </w:p>
        </w:tc>
        <w:tc>
          <w:tcPr>
            <w:tcW w:w="180" w:type="dxa"/>
            <w:vAlign w:val="bottom"/>
            <w:tcBorders>
              <w:bottom w:val="single" w:sz="8" w:color="E2E3E4"/>
            </w:tcBorders>
          </w:tcPr>
          <w:p>
            <w:pPr>
              <w:spacing w:after="0"/>
              <w:rPr>
                <w:sz w:val="14"/>
                <w:szCs w:val="14"/>
                <w:color w:val="auto"/>
              </w:rPr>
            </w:pPr>
          </w:p>
        </w:tc>
        <w:tc>
          <w:tcPr>
            <w:tcW w:w="20" w:type="dxa"/>
            <w:vAlign w:val="bottom"/>
            <w:tcBorders>
              <w:bottom w:val="single" w:sz="8" w:color="E2E3E4"/>
            </w:tcBorders>
          </w:tcPr>
          <w:p>
            <w:pPr>
              <w:spacing w:after="0"/>
              <w:rPr>
                <w:sz w:val="14"/>
                <w:szCs w:val="14"/>
                <w:color w:val="auto"/>
              </w:rPr>
            </w:pPr>
          </w:p>
        </w:tc>
        <w:tc>
          <w:tcPr>
            <w:tcW w:w="80" w:type="dxa"/>
            <w:vAlign w:val="bottom"/>
            <w:tcBorders>
              <w:bottom w:val="single" w:sz="8" w:color="E2E3E4"/>
            </w:tcBorders>
          </w:tcPr>
          <w:p>
            <w:pPr>
              <w:spacing w:after="0"/>
              <w:rPr>
                <w:sz w:val="14"/>
                <w:szCs w:val="14"/>
                <w:color w:val="auto"/>
              </w:rPr>
            </w:pPr>
          </w:p>
        </w:tc>
        <w:tc>
          <w:tcPr>
            <w:tcW w:w="920" w:type="dxa"/>
            <w:vAlign w:val="bottom"/>
            <w:tcBorders>
              <w:bottom w:val="single" w:sz="8" w:color="E2E3E4"/>
            </w:tcBorders>
          </w:tcPr>
          <w:p>
            <w:pPr>
              <w:spacing w:after="0"/>
              <w:rPr>
                <w:sz w:val="14"/>
                <w:szCs w:val="14"/>
                <w:color w:val="auto"/>
              </w:rPr>
            </w:pPr>
          </w:p>
        </w:tc>
        <w:tc>
          <w:tcPr>
            <w:tcW w:w="60" w:type="dxa"/>
            <w:vAlign w:val="bottom"/>
            <w:tcBorders>
              <w:bottom w:val="single" w:sz="8" w:color="E2E3E4"/>
            </w:tcBorders>
          </w:tcPr>
          <w:p>
            <w:pPr>
              <w:spacing w:after="0"/>
              <w:rPr>
                <w:sz w:val="14"/>
                <w:szCs w:val="14"/>
                <w:color w:val="auto"/>
              </w:rPr>
            </w:pPr>
          </w:p>
        </w:tc>
      </w:tr>
      <w:tr>
        <w:trPr>
          <w:trHeight w:val="217"/>
        </w:trPr>
        <w:tc>
          <w:tcPr>
            <w:tcW w:w="482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Unrecognized tax benefit at the beginning of the year</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1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20,798</w:t>
            </w:r>
          </w:p>
        </w:tc>
        <w:tc>
          <w:tcPr>
            <w:tcW w:w="70" w:type="dxa"/>
            <w:vAlign w:val="bottom"/>
            <w:shd w:val="clear" w:color="auto" w:fill="E2E3E4"/>
          </w:tcPr>
          <w:p>
            <w:pPr>
              <w:spacing w:after="0"/>
              <w:rPr>
                <w:sz w:val="18"/>
                <w:szCs w:val="18"/>
                <w:color w:val="auto"/>
              </w:rPr>
            </w:pPr>
          </w:p>
        </w:tc>
        <w:tc>
          <w:tcPr>
            <w:tcW w:w="9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15,790</w:t>
            </w:r>
          </w:p>
        </w:tc>
        <w:tc>
          <w:tcPr>
            <w:tcW w:w="1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2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13,945</w:t>
            </w:r>
          </w:p>
        </w:tc>
        <w:tc>
          <w:tcPr>
            <w:tcW w:w="60" w:type="dxa"/>
            <w:vAlign w:val="bottom"/>
            <w:shd w:val="clear" w:color="auto" w:fill="E2E3E4"/>
          </w:tcPr>
          <w:p>
            <w:pPr>
              <w:spacing w:after="0"/>
              <w:rPr>
                <w:sz w:val="18"/>
                <w:szCs w:val="18"/>
                <w:color w:val="auto"/>
              </w:rPr>
            </w:pPr>
          </w:p>
        </w:tc>
      </w:tr>
      <w:tr>
        <w:trPr>
          <w:trHeight w:val="235"/>
        </w:trPr>
        <w:tc>
          <w:tcPr>
            <w:tcW w:w="4820" w:type="dxa"/>
            <w:vAlign w:val="bottom"/>
            <w:tcBorders>
              <w:bottom w:val="single" w:sz="8" w:color="E2E3E4"/>
            </w:tcBorders>
          </w:tcPr>
          <w:p>
            <w:pPr>
              <w:spacing w:after="0"/>
              <w:rPr>
                <w:sz w:val="20"/>
                <w:szCs w:val="20"/>
                <w:color w:val="auto"/>
              </w:rPr>
            </w:pPr>
            <w:r>
              <w:rPr>
                <w:rFonts w:ascii="Times New Roman" w:cs="Times New Roman" w:eastAsia="Times New Roman" w:hAnsi="Times New Roman"/>
                <w:sz w:val="19"/>
                <w:szCs w:val="19"/>
                <w:color w:val="231F20"/>
              </w:rPr>
              <w:t>Tax positions related to prior years</w:t>
            </w:r>
          </w:p>
        </w:tc>
        <w:tc>
          <w:tcPr>
            <w:tcW w:w="10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90" w:type="dxa"/>
            <w:vAlign w:val="bottom"/>
            <w:tcBorders>
              <w:bottom w:val="single" w:sz="8" w:color="E2E3E4"/>
            </w:tcBorders>
          </w:tcPr>
          <w:p>
            <w:pPr>
              <w:spacing w:after="0"/>
              <w:rPr>
                <w:sz w:val="20"/>
                <w:szCs w:val="20"/>
                <w:color w:val="auto"/>
              </w:rPr>
            </w:pPr>
          </w:p>
        </w:tc>
        <w:tc>
          <w:tcPr>
            <w:tcW w:w="980" w:type="dxa"/>
            <w:vAlign w:val="bottom"/>
            <w:tcBorders>
              <w:bottom w:val="single" w:sz="8" w:color="E2E3E4"/>
            </w:tcBorders>
            <w:gridSpan w:val="2"/>
          </w:tcPr>
          <w:p>
            <w:pPr>
              <w:jc w:val="right"/>
              <w:ind w:right="10"/>
              <w:spacing w:after="0"/>
              <w:rPr>
                <w:sz w:val="20"/>
                <w:szCs w:val="20"/>
                <w:color w:val="auto"/>
              </w:rPr>
            </w:pPr>
            <w:r>
              <w:rPr>
                <w:rFonts w:ascii="Times New Roman" w:cs="Times New Roman" w:eastAsia="Times New Roman" w:hAnsi="Times New Roman"/>
                <w:sz w:val="19"/>
                <w:szCs w:val="19"/>
                <w:color w:val="231F20"/>
              </w:rPr>
              <w:t>(114 )</w:t>
            </w:r>
          </w:p>
        </w:tc>
        <w:tc>
          <w:tcPr>
            <w:tcW w:w="9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9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2,091</w:t>
            </w:r>
          </w:p>
        </w:tc>
        <w:tc>
          <w:tcPr>
            <w:tcW w:w="18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80" w:type="dxa"/>
            <w:vAlign w:val="bottom"/>
            <w:tcBorders>
              <w:bottom w:val="single" w:sz="8" w:color="E2E3E4"/>
            </w:tcBorders>
          </w:tcPr>
          <w:p>
            <w:pPr>
              <w:spacing w:after="0"/>
              <w:rPr>
                <w:sz w:val="20"/>
                <w:szCs w:val="20"/>
                <w:color w:val="auto"/>
              </w:rPr>
            </w:pPr>
          </w:p>
        </w:tc>
        <w:tc>
          <w:tcPr>
            <w:tcW w:w="92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114</w:t>
            </w:r>
          </w:p>
        </w:tc>
        <w:tc>
          <w:tcPr>
            <w:tcW w:w="60" w:type="dxa"/>
            <w:vAlign w:val="bottom"/>
            <w:tcBorders>
              <w:bottom w:val="single" w:sz="8" w:color="E2E3E4"/>
            </w:tcBorders>
          </w:tcPr>
          <w:p>
            <w:pPr>
              <w:spacing w:after="0"/>
              <w:rPr>
                <w:sz w:val="20"/>
                <w:szCs w:val="20"/>
                <w:color w:val="auto"/>
              </w:rPr>
            </w:pPr>
          </w:p>
        </w:tc>
      </w:tr>
      <w:tr>
        <w:trPr>
          <w:trHeight w:val="217"/>
        </w:trPr>
        <w:tc>
          <w:tcPr>
            <w:tcW w:w="4820" w:type="dxa"/>
            <w:vAlign w:val="bottom"/>
            <w:shd w:val="clear" w:color="auto" w:fill="E2E3E4"/>
          </w:tcPr>
          <w:p>
            <w:pPr>
              <w:spacing w:after="0" w:line="217" w:lineRule="exact"/>
              <w:rPr>
                <w:sz w:val="20"/>
                <w:szCs w:val="20"/>
                <w:color w:val="auto"/>
              </w:rPr>
            </w:pPr>
            <w:r>
              <w:rPr>
                <w:rFonts w:ascii="Times New Roman" w:cs="Times New Roman" w:eastAsia="Times New Roman" w:hAnsi="Times New Roman"/>
                <w:sz w:val="19"/>
                <w:szCs w:val="19"/>
                <w:color w:val="231F20"/>
              </w:rPr>
              <w:t>Tax positions related to the current year</w:t>
            </w:r>
          </w:p>
        </w:tc>
        <w:tc>
          <w:tcPr>
            <w:tcW w:w="10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90" w:type="dxa"/>
            <w:vAlign w:val="bottom"/>
            <w:shd w:val="clear" w:color="auto" w:fill="E2E3E4"/>
          </w:tcPr>
          <w:p>
            <w:pPr>
              <w:spacing w:after="0"/>
              <w:rPr>
                <w:sz w:val="18"/>
                <w:szCs w:val="18"/>
                <w:color w:val="auto"/>
              </w:rPr>
            </w:pPr>
          </w:p>
        </w:tc>
        <w:tc>
          <w:tcPr>
            <w:tcW w:w="91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3,256</w:t>
            </w:r>
          </w:p>
        </w:tc>
        <w:tc>
          <w:tcPr>
            <w:tcW w:w="70" w:type="dxa"/>
            <w:vAlign w:val="bottom"/>
            <w:shd w:val="clear" w:color="auto" w:fill="E2E3E4"/>
          </w:tcPr>
          <w:p>
            <w:pPr>
              <w:spacing w:after="0"/>
              <w:rPr>
                <w:sz w:val="18"/>
                <w:szCs w:val="18"/>
                <w:color w:val="auto"/>
              </w:rPr>
            </w:pPr>
          </w:p>
        </w:tc>
        <w:tc>
          <w:tcPr>
            <w:tcW w:w="9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2,917</w:t>
            </w:r>
          </w:p>
        </w:tc>
        <w:tc>
          <w:tcPr>
            <w:tcW w:w="1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80" w:type="dxa"/>
            <w:vAlign w:val="bottom"/>
            <w:shd w:val="clear" w:color="auto" w:fill="E2E3E4"/>
          </w:tcPr>
          <w:p>
            <w:pPr>
              <w:spacing w:after="0"/>
              <w:rPr>
                <w:sz w:val="18"/>
                <w:szCs w:val="18"/>
                <w:color w:val="auto"/>
              </w:rPr>
            </w:pPr>
          </w:p>
        </w:tc>
        <w:tc>
          <w:tcPr>
            <w:tcW w:w="92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1,731</w:t>
            </w:r>
          </w:p>
        </w:tc>
        <w:tc>
          <w:tcPr>
            <w:tcW w:w="60" w:type="dxa"/>
            <w:vAlign w:val="bottom"/>
            <w:shd w:val="clear" w:color="auto" w:fill="E2E3E4"/>
          </w:tcPr>
          <w:p>
            <w:pPr>
              <w:spacing w:after="0"/>
              <w:rPr>
                <w:sz w:val="18"/>
                <w:szCs w:val="18"/>
                <w:color w:val="auto"/>
              </w:rPr>
            </w:pPr>
          </w:p>
        </w:tc>
      </w:tr>
      <w:tr>
        <w:trPr>
          <w:trHeight w:val="257"/>
        </w:trPr>
        <w:tc>
          <w:tcPr>
            <w:tcW w:w="4820" w:type="dxa"/>
            <w:vAlign w:val="bottom"/>
          </w:tcPr>
          <w:p>
            <w:pPr>
              <w:spacing w:after="0"/>
              <w:rPr>
                <w:sz w:val="20"/>
                <w:szCs w:val="20"/>
                <w:color w:val="auto"/>
              </w:rPr>
            </w:pPr>
            <w:r>
              <w:rPr>
                <w:rFonts w:ascii="Times New Roman" w:cs="Times New Roman" w:eastAsia="Times New Roman" w:hAnsi="Times New Roman"/>
                <w:sz w:val="19"/>
                <w:szCs w:val="19"/>
                <w:color w:val="231F20"/>
              </w:rPr>
              <w:t>Tax position releases</w:t>
            </w:r>
          </w:p>
        </w:tc>
        <w:tc>
          <w:tcPr>
            <w:tcW w:w="120" w:type="dxa"/>
            <w:vAlign w:val="bottom"/>
            <w:gridSpan w:val="2"/>
          </w:tcPr>
          <w:p>
            <w:pPr>
              <w:spacing w:after="0"/>
              <w:rPr>
                <w:sz w:val="22"/>
                <w:szCs w:val="22"/>
                <w:color w:val="auto"/>
              </w:rPr>
            </w:pPr>
          </w:p>
        </w:tc>
        <w:tc>
          <w:tcPr>
            <w:tcW w:w="90" w:type="dxa"/>
            <w:vAlign w:val="bottom"/>
          </w:tcPr>
          <w:p>
            <w:pPr>
              <w:spacing w:after="0"/>
              <w:rPr>
                <w:sz w:val="22"/>
                <w:szCs w:val="22"/>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9"/>
                <w:szCs w:val="19"/>
                <w:color w:val="231F20"/>
              </w:rPr>
              <w:t>(2,569 )</w:t>
            </w: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0" w:type="dxa"/>
            <w:vAlign w:val="bottom"/>
          </w:tcPr>
          <w:p>
            <w:pPr>
              <w:spacing w:after="0"/>
              <w:rPr>
                <w:sz w:val="22"/>
                <w:szCs w:val="22"/>
                <w:color w:val="auto"/>
              </w:rPr>
            </w:pPr>
          </w:p>
        </w:tc>
      </w:tr>
      <w:tr>
        <w:trPr>
          <w:trHeight w:val="207"/>
        </w:trPr>
        <w:tc>
          <w:tcPr>
            <w:tcW w:w="4820" w:type="dxa"/>
            <w:vAlign w:val="bottom"/>
            <w:tcBorders>
              <w:top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Unrecognized tax benefit at the end of the year</w:t>
            </w:r>
          </w:p>
        </w:tc>
        <w:tc>
          <w:tcPr>
            <w:tcW w:w="10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9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1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21,371</w:t>
            </w:r>
          </w:p>
        </w:tc>
        <w:tc>
          <w:tcPr>
            <w:tcW w:w="70" w:type="dxa"/>
            <w:vAlign w:val="bottom"/>
            <w:tcBorders>
              <w:top w:val="single" w:sz="8" w:color="E2E3E4"/>
            </w:tcBorders>
            <w:shd w:val="clear" w:color="auto" w:fill="E2E3E4"/>
          </w:tcPr>
          <w:p>
            <w:pPr>
              <w:spacing w:after="0"/>
              <w:rPr>
                <w:sz w:val="17"/>
                <w:szCs w:val="17"/>
                <w:color w:val="auto"/>
              </w:rPr>
            </w:pPr>
          </w:p>
        </w:tc>
        <w:tc>
          <w:tcPr>
            <w:tcW w:w="9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10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90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20,798</w:t>
            </w:r>
          </w:p>
        </w:tc>
        <w:tc>
          <w:tcPr>
            <w:tcW w:w="180" w:type="dxa"/>
            <w:vAlign w:val="bottom"/>
            <w:tcBorders>
              <w:top w:val="single" w:sz="8" w:color="E2E3E4"/>
            </w:tcBorders>
            <w:shd w:val="clear" w:color="auto" w:fill="E2E3E4"/>
          </w:tcPr>
          <w:p>
            <w:pPr>
              <w:spacing w:after="0"/>
              <w:rPr>
                <w:sz w:val="17"/>
                <w:szCs w:val="17"/>
                <w:color w:val="auto"/>
              </w:rPr>
            </w:pPr>
          </w:p>
        </w:tc>
        <w:tc>
          <w:tcPr>
            <w:tcW w:w="20" w:type="dxa"/>
            <w:vAlign w:val="bottom"/>
            <w:tcBorders>
              <w:top w:val="single" w:sz="8" w:color="E2E3E4"/>
              <w:bottom w:val="single" w:sz="8" w:color="231F20"/>
            </w:tcBorders>
            <w:shd w:val="clear" w:color="auto" w:fill="E2E3E4"/>
          </w:tcPr>
          <w:p>
            <w:pPr>
              <w:spacing w:after="0"/>
              <w:rPr>
                <w:sz w:val="17"/>
                <w:szCs w:val="17"/>
                <w:color w:val="auto"/>
              </w:rPr>
            </w:pPr>
          </w:p>
        </w:tc>
        <w:tc>
          <w:tcPr>
            <w:tcW w:w="80" w:type="dxa"/>
            <w:vAlign w:val="bottom"/>
            <w:tcBorders>
              <w:top w:val="single" w:sz="8" w:color="231F20"/>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20" w:type="dxa"/>
            <w:vAlign w:val="bottom"/>
            <w:tcBorders>
              <w:top w:val="single" w:sz="8" w:color="231F20"/>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15,790</w:t>
            </w:r>
          </w:p>
        </w:tc>
        <w:tc>
          <w:tcPr>
            <w:tcW w:w="60" w:type="dxa"/>
            <w:vAlign w:val="bottom"/>
            <w:tcBorders>
              <w:top w:val="single" w:sz="8" w:color="E2E3E4"/>
            </w:tcBorders>
            <w:shd w:val="clear" w:color="auto" w:fill="E2E3E4"/>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0" w:type="dxa"/>
            <w:vAlign w:val="bottom"/>
            <w:tcBorders>
              <w:bottom w:val="single" w:sz="8" w:color="231F20"/>
            </w:tcBorders>
          </w:tcPr>
          <w:p>
            <w:pPr>
              <w:spacing w:after="0" w:line="20" w:lineRule="exact"/>
              <w:rPr>
                <w:sz w:val="1"/>
                <w:szCs w:val="1"/>
                <w:color w:val="auto"/>
              </w:rPr>
            </w:pPr>
          </w:p>
        </w:tc>
        <w:tc>
          <w:tcPr>
            <w:tcW w:w="910" w:type="dxa"/>
            <w:vAlign w:val="bottom"/>
            <w:tcBorders>
              <w:bottom w:val="single" w:sz="8" w:color="231F20"/>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9"/>
          <w:szCs w:val="19"/>
          <w:color w:val="231F20"/>
        </w:rPr>
        <w:t>As of December 31, 2025 and 2024, the total amount of gross unrecognized tax benefits, which excludes interest and penalties, was $21.4 million and $20.8 million, respectively. At December 31, 2025, none of the net unrecognized tax benefits would affect the Company’s effective tax rate due to the Company's full valuation allowance.</w:t>
      </w:r>
    </w:p>
    <w:p>
      <w:pPr>
        <w:spacing w:after="0" w:line="5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9"/>
          <w:szCs w:val="19"/>
          <w:color w:val="231F20"/>
        </w:rPr>
        <w:t>The Company files income tax returns as prescribed by the tax laws of the jurisdictions in which it operates. In the normal course of business, the Company is subject to examination by various tax authorities in the United States, Japan, Singapore and the United Kingdom. Tax years from 2022 to the present are still open to examination in the United States, from 2020 to the present in Japan, from 2021 to the present in Singapore and from 2024 to the present in the United Kingdom. To the extent that the Company has tax attribute carryforwards, the tax years in which the attribute was generated may still be adjusted upon examination by the tax authorities to the extent utilized in a future period.</w:t>
      </w:r>
    </w:p>
    <w:p>
      <w:pPr>
        <w:spacing w:after="0" w:line="67" w:lineRule="exact"/>
        <w:rPr>
          <w:sz w:val="20"/>
          <w:szCs w:val="20"/>
          <w:color w:val="auto"/>
        </w:rPr>
      </w:pPr>
    </w:p>
    <w:p>
      <w:pPr>
        <w:ind w:right="80" w:firstLine="1"/>
        <w:spacing w:after="0" w:line="242" w:lineRule="auto"/>
        <w:rPr>
          <w:sz w:val="20"/>
          <w:szCs w:val="20"/>
          <w:color w:val="auto"/>
        </w:rPr>
      </w:pPr>
      <w:r>
        <w:rPr>
          <w:rFonts w:ascii="Times New Roman" w:cs="Times New Roman" w:eastAsia="Times New Roman" w:hAnsi="Times New Roman"/>
          <w:sz w:val="19"/>
          <w:szCs w:val="19"/>
          <w:color w:val="231F20"/>
        </w:rPr>
        <w:t>As of December 31, 2025 and 2024, $44.4 million and $37.8 million, respectively, of cash and cash equivalents were held by the Company’s subsidiaries outside of Singapore. The Company does not provide for Singapore income tax or withholding taxes on the outside basis differences, including foreign unremitted earnings of its subsidiaries as they are permanently reinvested. If the Company decides to change its indefinite reversal assertion in the future, the Company may be required to record deferred taxes. Because of the complexity of Singapore and the rest-of-the-world tax rules applicable to the method of recovery of the investment in its subsidiaries, including distribution of earnings from its subsidiaries to Singapore, the determination of the unrecognized deferred tax liability is not practicable.</w:t>
      </w:r>
    </w:p>
    <w:p>
      <w:pPr>
        <w:spacing w:after="0" w:line="6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9"/>
          <w:szCs w:val="19"/>
          <w:color w:val="231F20"/>
        </w:rPr>
        <w:t>Utilization of the net operating loss carryforwards and research and development tax credit carryforwards in the United States may be subject to a substantial annual limitation under Section 382 and Section 383 of the Code, due to ownership changes that have occurred previously or that could occur in the future. These ownership changes may limit the amount of carryforwards that can be utilized annually to offset future taxable income and tax. In general, an ownership change, as defined by Section 382, results from transactions increasing the ownership of certain shareholders or public groups in the shares of a corporation by more than 50% over a three- year period. The Company previously completed Section 382 studies to assess whether there have been ownership changes since its formation through 2022. The results of the studies indicated that the Company experienced ownership changes as defined by Section 382 of the Code, and, as such, the Company adjusted its net operating losses and research and development credit carryforwards to reflect the limitations as a result of such ownership changes. The Company updated its Section 382 study to assess whether there have been ownership changes since December 31, 2022 through 2024 and the Company did not experience any additional ownership changes. Should one or more ownership changes occur in the future, the Company’s ability to utilize its net operating losses and research and development credit carryforwards may be further limited.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12. EMPLOYEE BENEFIT PLANS</w:t>
      </w:r>
    </w:p>
    <w:p>
      <w:pPr>
        <w:spacing w:after="0" w:line="1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231F20"/>
        </w:rPr>
        <w:t>The Company has a 401(k) retirement and savings plan (the “401(k) Plan”) covering employees of Wave USA. The 401(k) Plan allows employees to make contributions up to the maximum allowable amount set by the Internal Revenue Service. Under the 401(k) Plan, the Company may make discretionary contributions as approved by the board of directors. The Company made contributions of $2.0 million and $1.7 million in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1880" w:h="15480" w:orient="portrait"/>
          <w:cols w:equalWidth="0" w:num="1">
            <w:col w:w="10480"/>
          </w:cols>
          <w:pgMar w:left="700" w:top="963" w:right="700" w:bottom="213"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b w:val="1"/>
          <w:bCs w:val="1"/>
          <w:color w:val="231F20"/>
        </w:rPr>
        <w:t>13. RELATED PARTIES</w:t>
      </w:r>
    </w:p>
    <w:p>
      <w:pPr>
        <w:spacing w:after="0" w:line="112"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9"/>
          <w:szCs w:val="19"/>
          <w:color w:val="231F20"/>
        </w:rPr>
        <w:t>The Company had the following related party transactions for the periods presented in the accompanying consolidated financial statements:</w:t>
      </w:r>
    </w:p>
    <w:p>
      <w:pPr>
        <w:spacing w:after="0" w:line="52" w:lineRule="exact"/>
        <w:rPr>
          <w:sz w:val="20"/>
          <w:szCs w:val="20"/>
          <w:color w:val="auto"/>
        </w:rPr>
      </w:pPr>
    </w:p>
    <w:p>
      <w:pPr>
        <w:ind w:left="940" w:right="20" w:hanging="465"/>
        <w:spacing w:after="0" w:line="243" w:lineRule="auto"/>
        <w:tabs>
          <w:tab w:leader="none" w:pos="940" w:val="left"/>
        </w:tabs>
        <w:numPr>
          <w:ilvl w:val="1"/>
          <w:numId w:val="62"/>
        </w:numPr>
        <w:rPr>
          <w:rFonts w:ascii="Arial" w:cs="Arial" w:eastAsia="Arial" w:hAnsi="Arial"/>
          <w:sz w:val="19"/>
          <w:szCs w:val="19"/>
          <w:color w:val="231F20"/>
        </w:rPr>
      </w:pPr>
      <w:r>
        <w:rPr>
          <w:rFonts w:ascii="Times New Roman" w:cs="Times New Roman" w:eastAsia="Times New Roman" w:hAnsi="Times New Roman"/>
          <w:sz w:val="19"/>
          <w:szCs w:val="19"/>
          <w:color w:val="231F20"/>
        </w:rPr>
        <w:t>Pursuant to the terms of various contract research service agreements with Shin Nippon Biomedical Laboratories Ltd., a contract research organization and one of the Company’s shareholders, and its affiliates (together, “SNBL”), the Company paid SNBL $1.1 million and $0.9 million, respectively, during each of the years ended December 31, 2025 and 2024. Through December 31, 2025, the Company has paid an aggregate of $3.4 million to SNBL for the aforementioned various service agreements. During each of the years ended December 31, 2025 and 2024, the Company incurred expenses of approximately $4.6 million and $1.0 million, respectively, related to the aforementioned various service agreements.</w:t>
      </w:r>
    </w:p>
    <w:p>
      <w:pPr>
        <w:spacing w:after="0" w:line="308" w:lineRule="exact"/>
        <w:rPr>
          <w:rFonts w:ascii="Arial" w:cs="Arial" w:eastAsia="Arial" w:hAnsi="Arial"/>
          <w:sz w:val="19"/>
          <w:szCs w:val="19"/>
          <w:color w:val="231F20"/>
        </w:rPr>
      </w:pPr>
    </w:p>
    <w:p>
      <w:pPr>
        <w:ind w:left="300" w:hanging="300"/>
        <w:spacing w:after="0"/>
        <w:tabs>
          <w:tab w:leader="none" w:pos="300" w:val="left"/>
        </w:tabs>
        <w:numPr>
          <w:ilvl w:val="0"/>
          <w:numId w:val="62"/>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SEGMENT INFORMATION</w:t>
      </w:r>
    </w:p>
    <w:p>
      <w:pPr>
        <w:spacing w:after="0" w:line="12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color w:val="231F20"/>
        </w:rPr>
        <w:t>Operating segments are defined as components of an entity for which separate financial information is available and that is regularly reviewed by the CODM in deciding how to allocate resources to an individual segment and in assessing performance. The Company operates as a single reporting segment, focused on developing its proprietary RNA medicines platform, PRISM, to develop and commercialize a broad pipeline of RNA medicines in a variety of therapeutic areas. Consistent with our operational structure, our CEO, as the CODM, manages and allocates resources on a consolidated basis at the global corporate level. The results of our operations are reported on a consolidated basis for purposes of segment reporting. The CEO uses consolidated net loss that is reported on the consolidated statements of operations and comprehensive loss for the purposes of assessing performance, allocating resources and planning, monitoring budget versus actual results, and forecasting future periods.</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231F20"/>
        </w:rPr>
        <w:t>The following table is representative of the significant expense categories regularly provided to the CODM when managing the Company's single reporting segment. A reconciliation to consolidated operating expenses as our single segment operating loss for the years ended December 31, 2025, 2024, and 2023 is included in the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spacing w:after="0"/>
              <w:rPr>
                <w:sz w:val="17"/>
                <w:szCs w:val="17"/>
                <w:color w:val="auto"/>
              </w:rPr>
            </w:pPr>
          </w:p>
        </w:tc>
        <w:tc>
          <w:tcPr>
            <w:tcW w:w="2300" w:type="dxa"/>
            <w:vAlign w:val="bottom"/>
            <w:tcBorders>
              <w:bottom w:val="single" w:sz="8" w:color="231F20"/>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6"/>
              </w:rPr>
              <w:t>For the Year Ended December 31,</w:t>
            </w:r>
          </w:p>
        </w:tc>
        <w:tc>
          <w:tcPr>
            <w:tcW w:w="100" w:type="dxa"/>
            <w:vAlign w:val="bottom"/>
            <w:tcBorders>
              <w:bottom w:val="single" w:sz="8" w:color="231F20"/>
            </w:tcBorders>
          </w:tcPr>
          <w:p>
            <w:pPr>
              <w:spacing w:after="0"/>
              <w:rPr>
                <w:sz w:val="17"/>
                <w:szCs w:val="17"/>
                <w:color w:val="auto"/>
              </w:rPr>
            </w:pPr>
          </w:p>
        </w:tc>
        <w:tc>
          <w:tcPr>
            <w:tcW w:w="160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231F20"/>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b w:val="1"/>
                <w:bCs w:val="1"/>
                <w:color w:val="231F20"/>
              </w:rPr>
              <w:t>2025</w:t>
            </w:r>
          </w:p>
        </w:tc>
        <w:tc>
          <w:tcPr>
            <w:tcW w:w="680" w:type="dxa"/>
            <w:vAlign w:val="bottom"/>
            <w:tcBorders>
              <w:bottom w:val="single" w:sz="8" w:color="231F20"/>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600" w:type="dxa"/>
            <w:vAlign w:val="bottom"/>
            <w:tcBorders>
              <w:bottom w:val="single" w:sz="8" w:color="231F20"/>
            </w:tcBorders>
          </w:tcPr>
          <w:p>
            <w:pPr>
              <w:jc w:val="center"/>
              <w:ind w:right="27"/>
              <w:spacing w:after="0" w:line="181"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600" w:type="dxa"/>
            <w:vAlign w:val="bottom"/>
            <w:tcBorders>
              <w:bottom w:val="single" w:sz="8" w:color="231F20"/>
            </w:tcBorders>
          </w:tcPr>
          <w:p>
            <w:pPr>
              <w:jc w:val="right"/>
              <w:ind w:right="605"/>
              <w:spacing w:after="0" w:line="181"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Pr>
          <w:p>
            <w:pPr>
              <w:spacing w:after="0"/>
              <w:rPr>
                <w:sz w:val="15"/>
                <w:szCs w:val="15"/>
                <w:color w:val="auto"/>
              </w:rPr>
            </w:pPr>
          </w:p>
        </w:tc>
      </w:tr>
      <w:tr>
        <w:trPr>
          <w:trHeight w:val="173"/>
        </w:trPr>
        <w:tc>
          <w:tcPr>
            <w:tcW w:w="466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920" w:type="dxa"/>
            <w:vAlign w:val="bottom"/>
            <w:tcBorders>
              <w:bottom w:val="single" w:sz="8" w:color="E2E3E4"/>
            </w:tcBorders>
          </w:tcPr>
          <w:p>
            <w:pPr>
              <w:spacing w:after="0"/>
              <w:rPr>
                <w:sz w:val="15"/>
                <w:szCs w:val="15"/>
                <w:color w:val="auto"/>
              </w:rPr>
            </w:pPr>
          </w:p>
        </w:tc>
        <w:tc>
          <w:tcPr>
            <w:tcW w:w="680" w:type="dxa"/>
            <w:vAlign w:val="bottom"/>
            <w:tcBorders>
              <w:bottom w:val="single" w:sz="8" w:color="E2E3E4"/>
            </w:tcBorders>
          </w:tcPr>
          <w:p>
            <w:pPr>
              <w:spacing w:after="0"/>
              <w:rPr>
                <w:sz w:val="15"/>
                <w:szCs w:val="15"/>
                <w:color w:val="auto"/>
              </w:rPr>
            </w:pPr>
          </w:p>
        </w:tc>
        <w:tc>
          <w:tcPr>
            <w:tcW w:w="28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1600" w:type="dxa"/>
            <w:vAlign w:val="bottom"/>
            <w:tcBorders>
              <w:bottom w:val="single" w:sz="8" w:color="E2E3E4"/>
            </w:tcBorders>
          </w:tcPr>
          <w:p>
            <w:pPr>
              <w:jc w:val="center"/>
              <w:ind w:right="27"/>
              <w:spacing w:after="0" w:line="173" w:lineRule="exact"/>
              <w:rPr>
                <w:sz w:val="20"/>
                <w:szCs w:val="20"/>
                <w:color w:val="auto"/>
              </w:rPr>
            </w:pPr>
            <w:r>
              <w:rPr>
                <w:rFonts w:ascii="Times New Roman" w:cs="Times New Roman" w:eastAsia="Times New Roman" w:hAnsi="Times New Roman"/>
                <w:sz w:val="16"/>
                <w:szCs w:val="16"/>
                <w:color w:val="231F20"/>
                <w:w w:val="96"/>
              </w:rPr>
              <w:t>(in thousands)</w:t>
            </w:r>
          </w:p>
        </w:tc>
        <w:tc>
          <w:tcPr>
            <w:tcW w:w="280" w:type="dxa"/>
            <w:vAlign w:val="bottom"/>
            <w:tcBorders>
              <w:bottom w:val="single" w:sz="8" w:color="E2E3E4"/>
            </w:tcBorders>
          </w:tcPr>
          <w:p>
            <w:pPr>
              <w:spacing w:after="0"/>
              <w:rPr>
                <w:sz w:val="15"/>
                <w:szCs w:val="15"/>
                <w:color w:val="auto"/>
              </w:rPr>
            </w:pPr>
          </w:p>
        </w:tc>
        <w:tc>
          <w:tcPr>
            <w:tcW w:w="2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c>
          <w:tcPr>
            <w:tcW w:w="1600" w:type="dxa"/>
            <w:vAlign w:val="bottom"/>
            <w:tcBorders>
              <w:bottom w:val="single" w:sz="8" w:color="E2E3E4"/>
            </w:tcBorders>
          </w:tcPr>
          <w:p>
            <w:pPr>
              <w:spacing w:after="0"/>
              <w:rPr>
                <w:sz w:val="15"/>
                <w:szCs w:val="15"/>
                <w:color w:val="auto"/>
              </w:rPr>
            </w:pPr>
          </w:p>
        </w:tc>
        <w:tc>
          <w:tcPr>
            <w:tcW w:w="100" w:type="dxa"/>
            <w:vAlign w:val="bottom"/>
            <w:tcBorders>
              <w:bottom w:val="single" w:sz="8" w:color="E2E3E4"/>
            </w:tcBorders>
          </w:tcPr>
          <w:p>
            <w:pPr>
              <w:spacing w:after="0"/>
              <w:rPr>
                <w:sz w:val="15"/>
                <w:szCs w:val="15"/>
                <w:color w:val="auto"/>
              </w:rPr>
            </w:pPr>
          </w:p>
        </w:tc>
      </w:tr>
      <w:tr>
        <w:trPr>
          <w:trHeight w:val="215"/>
        </w:trPr>
        <w:tc>
          <w:tcPr>
            <w:tcW w:w="4660" w:type="dxa"/>
            <w:vAlign w:val="bottom"/>
            <w:shd w:val="clear" w:color="auto" w:fill="E2E3E4"/>
          </w:tcPr>
          <w:p>
            <w:pPr>
              <w:spacing w:after="0" w:line="215" w:lineRule="exact"/>
              <w:rPr>
                <w:sz w:val="20"/>
                <w:szCs w:val="20"/>
                <w:color w:val="auto"/>
              </w:rPr>
            </w:pPr>
            <w:r>
              <w:rPr>
                <w:rFonts w:ascii="Times New Roman" w:cs="Times New Roman" w:eastAsia="Times New Roman" w:hAnsi="Times New Roman"/>
                <w:sz w:val="19"/>
                <w:szCs w:val="19"/>
                <w:color w:val="231F20"/>
              </w:rPr>
              <w:t>Research and development expenses:</w:t>
            </w: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20" w:type="dxa"/>
            <w:vAlign w:val="bottom"/>
            <w:shd w:val="clear" w:color="auto" w:fill="E2E3E4"/>
          </w:tcPr>
          <w:p>
            <w:pPr>
              <w:spacing w:after="0"/>
              <w:rPr>
                <w:sz w:val="18"/>
                <w:szCs w:val="18"/>
                <w:color w:val="auto"/>
              </w:rPr>
            </w:pPr>
          </w:p>
        </w:tc>
        <w:tc>
          <w:tcPr>
            <w:tcW w:w="680" w:type="dxa"/>
            <w:vAlign w:val="bottom"/>
            <w:shd w:val="clear" w:color="auto" w:fill="E2E3E4"/>
          </w:tcPr>
          <w:p>
            <w:pPr>
              <w:spacing w:after="0"/>
              <w:rPr>
                <w:sz w:val="18"/>
                <w:szCs w:val="18"/>
                <w:color w:val="auto"/>
              </w:rPr>
            </w:pPr>
          </w:p>
        </w:tc>
        <w:tc>
          <w:tcPr>
            <w:tcW w:w="2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600" w:type="dxa"/>
            <w:vAlign w:val="bottom"/>
            <w:shd w:val="clear" w:color="auto" w:fill="E2E3E4"/>
          </w:tcPr>
          <w:p>
            <w:pPr>
              <w:spacing w:after="0"/>
              <w:rPr>
                <w:sz w:val="18"/>
                <w:szCs w:val="18"/>
                <w:color w:val="auto"/>
              </w:rPr>
            </w:pPr>
          </w:p>
        </w:tc>
        <w:tc>
          <w:tcPr>
            <w:tcW w:w="2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60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r>
      <w:tr>
        <w:trPr>
          <w:trHeight w:val="237"/>
        </w:trPr>
        <w:tc>
          <w:tcPr>
            <w:tcW w:w="4680" w:type="dxa"/>
            <w:vAlign w:val="bottom"/>
            <w:tcBorders>
              <w:bottom w:val="single" w:sz="8" w:color="E2E3E4"/>
            </w:tcBorders>
            <w:gridSpan w:val="2"/>
          </w:tcPr>
          <w:p>
            <w:pPr>
              <w:ind w:left="100"/>
              <w:spacing w:after="0"/>
              <w:rPr>
                <w:sz w:val="20"/>
                <w:szCs w:val="20"/>
                <w:color w:val="auto"/>
              </w:rPr>
            </w:pPr>
            <w:r>
              <w:rPr>
                <w:rFonts w:ascii="Times New Roman" w:cs="Times New Roman" w:eastAsia="Times New Roman" w:hAnsi="Times New Roman"/>
                <w:sz w:val="19"/>
                <w:szCs w:val="19"/>
                <w:color w:val="231F20"/>
              </w:rPr>
              <w:t>INHBE program</w:t>
            </w:r>
          </w:p>
        </w:tc>
        <w:tc>
          <w:tcPr>
            <w:tcW w:w="1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E2E3E4"/>
            </w:tcBorders>
          </w:tcPr>
          <w:p>
            <w:pPr>
              <w:spacing w:after="0"/>
              <w:rPr>
                <w:sz w:val="20"/>
                <w:szCs w:val="20"/>
                <w:color w:val="auto"/>
              </w:rPr>
            </w:pPr>
          </w:p>
        </w:tc>
        <w:tc>
          <w:tcPr>
            <w:tcW w:w="6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15,715</w:t>
            </w:r>
          </w:p>
        </w:tc>
        <w:tc>
          <w:tcPr>
            <w:tcW w:w="400" w:type="dxa"/>
            <w:vAlign w:val="bottom"/>
            <w:tcBorders>
              <w:bottom w:val="single" w:sz="8" w:color="E2E3E4"/>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9,294</w:t>
            </w:r>
          </w:p>
        </w:tc>
        <w:tc>
          <w:tcPr>
            <w:tcW w:w="28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6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229</w:t>
            </w:r>
          </w:p>
        </w:tc>
        <w:tc>
          <w:tcPr>
            <w:tcW w:w="100" w:type="dxa"/>
            <w:vAlign w:val="bottom"/>
            <w:tcBorders>
              <w:bottom w:val="single" w:sz="8" w:color="E2E3E4"/>
            </w:tcBorders>
          </w:tcPr>
          <w:p>
            <w:pPr>
              <w:spacing w:after="0"/>
              <w:rPr>
                <w:sz w:val="20"/>
                <w:szCs w:val="20"/>
                <w:color w:val="auto"/>
              </w:rPr>
            </w:pPr>
          </w:p>
        </w:tc>
      </w:tr>
      <w:tr>
        <w:trPr>
          <w:trHeight w:val="215"/>
        </w:trPr>
        <w:tc>
          <w:tcPr>
            <w:tcW w:w="4660" w:type="dxa"/>
            <w:vAlign w:val="bottom"/>
            <w:shd w:val="clear" w:color="auto" w:fill="E2E3E4"/>
          </w:tcPr>
          <w:p>
            <w:pPr>
              <w:ind w:left="100"/>
              <w:spacing w:after="0" w:line="215" w:lineRule="exact"/>
              <w:rPr>
                <w:sz w:val="20"/>
                <w:szCs w:val="20"/>
                <w:color w:val="auto"/>
              </w:rPr>
            </w:pPr>
            <w:r>
              <w:rPr>
                <w:rFonts w:ascii="Times New Roman" w:cs="Times New Roman" w:eastAsia="Times New Roman" w:hAnsi="Times New Roman"/>
                <w:sz w:val="19"/>
                <w:szCs w:val="19"/>
                <w:color w:val="231F20"/>
              </w:rPr>
              <w:t>AATD program</w:t>
            </w: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20" w:type="dxa"/>
            <w:vAlign w:val="bottom"/>
            <w:shd w:val="clear" w:color="auto" w:fill="E2E3E4"/>
          </w:tcPr>
          <w:p>
            <w:pPr>
              <w:spacing w:after="0"/>
              <w:rPr>
                <w:sz w:val="18"/>
                <w:szCs w:val="18"/>
                <w:color w:val="auto"/>
              </w:rPr>
            </w:pPr>
          </w:p>
        </w:tc>
        <w:tc>
          <w:tcPr>
            <w:tcW w:w="68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5,714</w:t>
            </w:r>
          </w:p>
        </w:tc>
        <w:tc>
          <w:tcPr>
            <w:tcW w:w="2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60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11,666</w:t>
            </w:r>
          </w:p>
        </w:tc>
        <w:tc>
          <w:tcPr>
            <w:tcW w:w="2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600" w:type="dxa"/>
            <w:vAlign w:val="bottom"/>
            <w:shd w:val="clear" w:color="auto" w:fill="E2E3E4"/>
          </w:tcPr>
          <w:p>
            <w:pPr>
              <w:jc w:val="right"/>
              <w:spacing w:after="0" w:line="215" w:lineRule="exact"/>
              <w:rPr>
                <w:sz w:val="20"/>
                <w:szCs w:val="20"/>
                <w:color w:val="auto"/>
              </w:rPr>
            </w:pPr>
            <w:r>
              <w:rPr>
                <w:rFonts w:ascii="Times New Roman" w:cs="Times New Roman" w:eastAsia="Times New Roman" w:hAnsi="Times New Roman"/>
                <w:sz w:val="19"/>
                <w:szCs w:val="19"/>
                <w:color w:val="231F20"/>
              </w:rPr>
              <w:t>8,453</w:t>
            </w:r>
          </w:p>
        </w:tc>
        <w:tc>
          <w:tcPr>
            <w:tcW w:w="100" w:type="dxa"/>
            <w:vAlign w:val="bottom"/>
            <w:shd w:val="clear" w:color="auto" w:fill="E2E3E4"/>
          </w:tcPr>
          <w:p>
            <w:pPr>
              <w:spacing w:after="0"/>
              <w:rPr>
                <w:sz w:val="18"/>
                <w:szCs w:val="18"/>
                <w:color w:val="auto"/>
              </w:rPr>
            </w:pPr>
          </w:p>
        </w:tc>
      </w:tr>
      <w:tr>
        <w:trPr>
          <w:trHeight w:val="237"/>
        </w:trPr>
        <w:tc>
          <w:tcPr>
            <w:tcW w:w="4660" w:type="dxa"/>
            <w:vAlign w:val="bottom"/>
            <w:tcBorders>
              <w:bottom w:val="single" w:sz="8" w:color="E2E3E4"/>
            </w:tcBorders>
          </w:tcPr>
          <w:p>
            <w:pPr>
              <w:ind w:left="100"/>
              <w:spacing w:after="0"/>
              <w:rPr>
                <w:sz w:val="20"/>
                <w:szCs w:val="20"/>
                <w:color w:val="auto"/>
              </w:rPr>
            </w:pPr>
            <w:r>
              <w:rPr>
                <w:rFonts w:ascii="Times New Roman" w:cs="Times New Roman" w:eastAsia="Times New Roman" w:hAnsi="Times New Roman"/>
                <w:sz w:val="19"/>
                <w:szCs w:val="19"/>
                <w:color w:val="231F20"/>
              </w:rPr>
              <w:t>DMD program</w:t>
            </w: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920" w:type="dxa"/>
            <w:vAlign w:val="bottom"/>
            <w:tcBorders>
              <w:bottom w:val="single" w:sz="8" w:color="E2E3E4"/>
            </w:tcBorders>
          </w:tcPr>
          <w:p>
            <w:pPr>
              <w:spacing w:after="0"/>
              <w:rPr>
                <w:sz w:val="20"/>
                <w:szCs w:val="20"/>
                <w:color w:val="auto"/>
              </w:rPr>
            </w:pPr>
          </w:p>
        </w:tc>
        <w:tc>
          <w:tcPr>
            <w:tcW w:w="68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19,469</w:t>
            </w:r>
          </w:p>
        </w:tc>
        <w:tc>
          <w:tcPr>
            <w:tcW w:w="28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6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15,536</w:t>
            </w:r>
          </w:p>
        </w:tc>
        <w:tc>
          <w:tcPr>
            <w:tcW w:w="280" w:type="dxa"/>
            <w:vAlign w:val="bottom"/>
            <w:tcBorders>
              <w:bottom w:val="single" w:sz="8" w:color="E2E3E4"/>
            </w:tcBorders>
          </w:tcPr>
          <w:p>
            <w:pPr>
              <w:spacing w:after="0"/>
              <w:rPr>
                <w:sz w:val="20"/>
                <w:szCs w:val="20"/>
                <w:color w:val="auto"/>
              </w:rPr>
            </w:pPr>
          </w:p>
        </w:tc>
        <w:tc>
          <w:tcPr>
            <w:tcW w:w="20" w:type="dxa"/>
            <w:vAlign w:val="bottom"/>
            <w:tcBorders>
              <w:bottom w:val="single" w:sz="8" w:color="E2E3E4"/>
            </w:tcBorders>
          </w:tcPr>
          <w:p>
            <w:pPr>
              <w:spacing w:after="0"/>
              <w:rPr>
                <w:sz w:val="20"/>
                <w:szCs w:val="20"/>
                <w:color w:val="auto"/>
              </w:rPr>
            </w:pPr>
          </w:p>
        </w:tc>
        <w:tc>
          <w:tcPr>
            <w:tcW w:w="100" w:type="dxa"/>
            <w:vAlign w:val="bottom"/>
            <w:tcBorders>
              <w:bottom w:val="single" w:sz="8" w:color="E2E3E4"/>
            </w:tcBorders>
          </w:tcPr>
          <w:p>
            <w:pPr>
              <w:spacing w:after="0"/>
              <w:rPr>
                <w:sz w:val="20"/>
                <w:szCs w:val="20"/>
                <w:color w:val="auto"/>
              </w:rPr>
            </w:pPr>
          </w:p>
        </w:tc>
        <w:tc>
          <w:tcPr>
            <w:tcW w:w="1600" w:type="dxa"/>
            <w:vAlign w:val="bottom"/>
            <w:tcBorders>
              <w:bottom w:val="single" w:sz="8" w:color="E2E3E4"/>
            </w:tcBorders>
          </w:tcPr>
          <w:p>
            <w:pPr>
              <w:jc w:val="right"/>
              <w:spacing w:after="0"/>
              <w:rPr>
                <w:sz w:val="20"/>
                <w:szCs w:val="20"/>
                <w:color w:val="auto"/>
              </w:rPr>
            </w:pPr>
            <w:r>
              <w:rPr>
                <w:rFonts w:ascii="Times New Roman" w:cs="Times New Roman" w:eastAsia="Times New Roman" w:hAnsi="Times New Roman"/>
                <w:sz w:val="19"/>
                <w:szCs w:val="19"/>
                <w:color w:val="231F20"/>
              </w:rPr>
              <w:t>7,808</w:t>
            </w:r>
          </w:p>
        </w:tc>
        <w:tc>
          <w:tcPr>
            <w:tcW w:w="100" w:type="dxa"/>
            <w:vAlign w:val="bottom"/>
            <w:tcBorders>
              <w:bottom w:val="single" w:sz="8" w:color="E2E3E4"/>
            </w:tcBorders>
          </w:tcPr>
          <w:p>
            <w:pPr>
              <w:spacing w:after="0"/>
              <w:rPr>
                <w:sz w:val="20"/>
                <w:szCs w:val="20"/>
                <w:color w:val="auto"/>
              </w:rPr>
            </w:pPr>
          </w:p>
        </w:tc>
      </w:tr>
      <w:tr>
        <w:trPr>
          <w:trHeight w:val="217"/>
        </w:trPr>
        <w:tc>
          <w:tcPr>
            <w:tcW w:w="4660" w:type="dxa"/>
            <w:vAlign w:val="bottom"/>
            <w:shd w:val="clear" w:color="auto" w:fill="E2E3E4"/>
          </w:tcPr>
          <w:p>
            <w:pPr>
              <w:ind w:left="100"/>
              <w:spacing w:after="0" w:line="217" w:lineRule="exact"/>
              <w:rPr>
                <w:sz w:val="20"/>
                <w:szCs w:val="20"/>
                <w:color w:val="auto"/>
              </w:rPr>
            </w:pPr>
            <w:r>
              <w:rPr>
                <w:rFonts w:ascii="Times New Roman" w:cs="Times New Roman" w:eastAsia="Times New Roman" w:hAnsi="Times New Roman"/>
                <w:sz w:val="19"/>
                <w:szCs w:val="19"/>
                <w:color w:val="231F20"/>
              </w:rPr>
              <w:t>HD program</w:t>
            </w: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920" w:type="dxa"/>
            <w:vAlign w:val="bottom"/>
            <w:shd w:val="clear" w:color="auto" w:fill="E2E3E4"/>
          </w:tcPr>
          <w:p>
            <w:pPr>
              <w:spacing w:after="0"/>
              <w:rPr>
                <w:sz w:val="18"/>
                <w:szCs w:val="18"/>
                <w:color w:val="auto"/>
              </w:rPr>
            </w:pPr>
          </w:p>
        </w:tc>
        <w:tc>
          <w:tcPr>
            <w:tcW w:w="68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2,678</w:t>
            </w:r>
          </w:p>
        </w:tc>
        <w:tc>
          <w:tcPr>
            <w:tcW w:w="2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6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11,790</w:t>
            </w:r>
          </w:p>
        </w:tc>
        <w:tc>
          <w:tcPr>
            <w:tcW w:w="280" w:type="dxa"/>
            <w:vAlign w:val="bottom"/>
            <w:shd w:val="clear" w:color="auto" w:fill="E2E3E4"/>
          </w:tcPr>
          <w:p>
            <w:pPr>
              <w:spacing w:after="0"/>
              <w:rPr>
                <w:sz w:val="18"/>
                <w:szCs w:val="18"/>
                <w:color w:val="auto"/>
              </w:rPr>
            </w:pPr>
          </w:p>
        </w:tc>
        <w:tc>
          <w:tcPr>
            <w:tcW w:w="20" w:type="dxa"/>
            <w:vAlign w:val="bottom"/>
            <w:shd w:val="clear" w:color="auto" w:fill="E2E3E4"/>
          </w:tcPr>
          <w:p>
            <w:pPr>
              <w:spacing w:after="0"/>
              <w:rPr>
                <w:sz w:val="18"/>
                <w:szCs w:val="18"/>
                <w:color w:val="auto"/>
              </w:rPr>
            </w:pPr>
          </w:p>
        </w:tc>
        <w:tc>
          <w:tcPr>
            <w:tcW w:w="100" w:type="dxa"/>
            <w:vAlign w:val="bottom"/>
            <w:shd w:val="clear" w:color="auto" w:fill="E2E3E4"/>
          </w:tcPr>
          <w:p>
            <w:pPr>
              <w:spacing w:after="0"/>
              <w:rPr>
                <w:sz w:val="18"/>
                <w:szCs w:val="18"/>
                <w:color w:val="auto"/>
              </w:rPr>
            </w:pPr>
          </w:p>
        </w:tc>
        <w:tc>
          <w:tcPr>
            <w:tcW w:w="1600" w:type="dxa"/>
            <w:vAlign w:val="bottom"/>
            <w:shd w:val="clear" w:color="auto" w:fill="E2E3E4"/>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13,086</w:t>
            </w:r>
          </w:p>
        </w:tc>
        <w:tc>
          <w:tcPr>
            <w:tcW w:w="100" w:type="dxa"/>
            <w:vAlign w:val="bottom"/>
            <w:shd w:val="clear" w:color="auto" w:fill="E2E3E4"/>
          </w:tcPr>
          <w:p>
            <w:pPr>
              <w:spacing w:after="0"/>
              <w:rPr>
                <w:sz w:val="18"/>
                <w:szCs w:val="18"/>
                <w:color w:val="auto"/>
              </w:rPr>
            </w:pPr>
          </w:p>
        </w:tc>
      </w:tr>
      <w:tr>
        <w:trPr>
          <w:trHeight w:val="217"/>
        </w:trPr>
        <w:tc>
          <w:tcPr>
            <w:tcW w:w="46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231F20"/>
              </w:rPr>
              <w:t>Other research and development expenses(1), including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4680" w:type="dxa"/>
            <w:vAlign w:val="bottom"/>
            <w:tcBorders>
              <w:bottom w:val="single" w:sz="8" w:color="E2E3E4"/>
            </w:tcBorders>
            <w:gridSpan w:val="2"/>
          </w:tcPr>
          <w:p>
            <w:pPr>
              <w:ind w:left="100"/>
              <w:spacing w:after="0"/>
              <w:rPr>
                <w:sz w:val="20"/>
                <w:szCs w:val="20"/>
                <w:color w:val="auto"/>
              </w:rPr>
            </w:pPr>
            <w:r>
              <w:rPr>
                <w:rFonts w:ascii="Times New Roman" w:cs="Times New Roman" w:eastAsia="Times New Roman" w:hAnsi="Times New Roman"/>
                <w:sz w:val="19"/>
                <w:szCs w:val="19"/>
                <w:color w:val="231F20"/>
              </w:rPr>
              <w:t>PNPLA3, additional preclinical programs, PRISM</w:t>
            </w:r>
          </w:p>
        </w:tc>
        <w:tc>
          <w:tcPr>
            <w:tcW w:w="10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139,203</w:t>
            </w:r>
          </w:p>
        </w:tc>
        <w:tc>
          <w:tcPr>
            <w:tcW w:w="28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111,396</w:t>
            </w:r>
          </w:p>
        </w:tc>
        <w:tc>
          <w:tcPr>
            <w:tcW w:w="280" w:type="dxa"/>
            <w:vAlign w:val="bottom"/>
            <w:tcBorders>
              <w:bottom w:val="single" w:sz="8" w:color="E2E3E4"/>
            </w:tcBorders>
          </w:tcPr>
          <w:p>
            <w:pPr>
              <w:spacing w:after="0"/>
              <w:rPr>
                <w:sz w:val="22"/>
                <w:szCs w:val="22"/>
                <w:color w:val="auto"/>
              </w:rPr>
            </w:pPr>
          </w:p>
        </w:tc>
        <w:tc>
          <w:tcPr>
            <w:tcW w:w="20" w:type="dxa"/>
            <w:vAlign w:val="bottom"/>
            <w:tcBorders>
              <w:bottom w:val="single" w:sz="8" w:color="E2E3E4"/>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100,433</w:t>
            </w:r>
          </w:p>
        </w:tc>
        <w:tc>
          <w:tcPr>
            <w:tcW w:w="100" w:type="dxa"/>
            <w:vAlign w:val="bottom"/>
            <w:tcBorders>
              <w:bottom w:val="single" w:sz="8" w:color="E2E3E4"/>
            </w:tcBorders>
          </w:tcPr>
          <w:p>
            <w:pPr>
              <w:spacing w:after="0"/>
              <w:rPr>
                <w:sz w:val="22"/>
                <w:szCs w:val="22"/>
                <w:color w:val="auto"/>
              </w:rPr>
            </w:pPr>
          </w:p>
        </w:tc>
      </w:tr>
      <w:tr>
        <w:trPr>
          <w:trHeight w:val="227"/>
        </w:trPr>
        <w:tc>
          <w:tcPr>
            <w:tcW w:w="4660" w:type="dxa"/>
            <w:vAlign w:val="bottom"/>
            <w:tcBorders>
              <w:top w:val="single" w:sz="8" w:color="E2E3E4"/>
              <w:bottom w:val="single" w:sz="8" w:color="E2E3E4"/>
            </w:tcBorders>
            <w:shd w:val="clear" w:color="auto" w:fill="E2E3E4"/>
          </w:tcPr>
          <w:p>
            <w:pPr>
              <w:spacing w:after="0" w:line="207" w:lineRule="exact"/>
              <w:rPr>
                <w:sz w:val="20"/>
                <w:szCs w:val="20"/>
                <w:color w:val="auto"/>
              </w:rPr>
            </w:pPr>
            <w:r>
              <w:rPr>
                <w:rFonts w:ascii="Times New Roman" w:cs="Times New Roman" w:eastAsia="Times New Roman" w:hAnsi="Times New Roman"/>
                <w:sz w:val="19"/>
                <w:szCs w:val="19"/>
                <w:color w:val="231F20"/>
              </w:rPr>
              <w:t>Total research and development expenses</w:t>
            </w:r>
          </w:p>
        </w:tc>
        <w:tc>
          <w:tcPr>
            <w:tcW w:w="20" w:type="dxa"/>
            <w:vAlign w:val="bottom"/>
            <w:tcBorders>
              <w:top w:val="single" w:sz="8" w:color="E2E3E4"/>
              <w:bottom w:val="single" w:sz="8" w:color="E2E3E4"/>
            </w:tcBorders>
            <w:shd w:val="clear" w:color="auto" w:fill="E2E3E4"/>
          </w:tcPr>
          <w:p>
            <w:pPr>
              <w:spacing w:after="0"/>
              <w:rPr>
                <w:sz w:val="19"/>
                <w:szCs w:val="19"/>
                <w:color w:val="auto"/>
              </w:rPr>
            </w:pPr>
          </w:p>
        </w:tc>
        <w:tc>
          <w:tcPr>
            <w:tcW w:w="100" w:type="dxa"/>
            <w:vAlign w:val="bottom"/>
            <w:tcBorders>
              <w:top w:val="single" w:sz="8" w:color="E2E3E4"/>
              <w:bottom w:val="single" w:sz="8" w:color="231F20"/>
            </w:tcBorders>
            <w:shd w:val="clear" w:color="auto" w:fill="E2E3E4"/>
          </w:tcPr>
          <w:p>
            <w:pPr>
              <w:spacing w:after="0"/>
              <w:rPr>
                <w:sz w:val="19"/>
                <w:szCs w:val="19"/>
                <w:color w:val="auto"/>
              </w:rPr>
            </w:pPr>
          </w:p>
        </w:tc>
        <w:tc>
          <w:tcPr>
            <w:tcW w:w="920" w:type="dxa"/>
            <w:vAlign w:val="bottom"/>
            <w:tcBorders>
              <w:top w:val="single" w:sz="8" w:color="E2E3E4"/>
              <w:bottom w:val="single" w:sz="8" w:color="231F20"/>
            </w:tcBorders>
            <w:shd w:val="clear" w:color="auto" w:fill="E2E3E4"/>
          </w:tcPr>
          <w:p>
            <w:pPr>
              <w:spacing w:after="0"/>
              <w:rPr>
                <w:sz w:val="19"/>
                <w:szCs w:val="19"/>
                <w:color w:val="auto"/>
              </w:rPr>
            </w:pPr>
          </w:p>
        </w:tc>
        <w:tc>
          <w:tcPr>
            <w:tcW w:w="680" w:type="dxa"/>
            <w:vAlign w:val="bottom"/>
            <w:tcBorders>
              <w:top w:val="single" w:sz="8" w:color="E2E3E4"/>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182,779</w:t>
            </w:r>
          </w:p>
        </w:tc>
        <w:tc>
          <w:tcPr>
            <w:tcW w:w="280" w:type="dxa"/>
            <w:vAlign w:val="bottom"/>
            <w:tcBorders>
              <w:top w:val="single" w:sz="8" w:color="E2E3E4"/>
              <w:bottom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E2E3E4"/>
            </w:tcBorders>
            <w:shd w:val="clear" w:color="auto" w:fill="E2E3E4"/>
          </w:tcPr>
          <w:p>
            <w:pPr>
              <w:spacing w:after="0"/>
              <w:rPr>
                <w:sz w:val="19"/>
                <w:szCs w:val="19"/>
                <w:color w:val="auto"/>
              </w:rPr>
            </w:pPr>
          </w:p>
        </w:tc>
        <w:tc>
          <w:tcPr>
            <w:tcW w:w="100" w:type="dxa"/>
            <w:vAlign w:val="bottom"/>
            <w:tcBorders>
              <w:top w:val="single" w:sz="8" w:color="E2E3E4"/>
              <w:bottom w:val="single" w:sz="8" w:color="231F20"/>
            </w:tcBorders>
            <w:shd w:val="clear" w:color="auto" w:fill="E2E3E4"/>
          </w:tcPr>
          <w:p>
            <w:pPr>
              <w:spacing w:after="0"/>
              <w:rPr>
                <w:sz w:val="19"/>
                <w:szCs w:val="19"/>
                <w:color w:val="auto"/>
              </w:rPr>
            </w:pPr>
          </w:p>
        </w:tc>
        <w:tc>
          <w:tcPr>
            <w:tcW w:w="1600" w:type="dxa"/>
            <w:vAlign w:val="bottom"/>
            <w:tcBorders>
              <w:top w:val="single" w:sz="8" w:color="E2E3E4"/>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159,682</w:t>
            </w:r>
          </w:p>
        </w:tc>
        <w:tc>
          <w:tcPr>
            <w:tcW w:w="280" w:type="dxa"/>
            <w:vAlign w:val="bottom"/>
            <w:tcBorders>
              <w:top w:val="single" w:sz="8" w:color="E2E3E4"/>
              <w:bottom w:val="single" w:sz="8" w:color="E2E3E4"/>
            </w:tcBorders>
            <w:shd w:val="clear" w:color="auto" w:fill="E2E3E4"/>
          </w:tcPr>
          <w:p>
            <w:pPr>
              <w:spacing w:after="0"/>
              <w:rPr>
                <w:sz w:val="19"/>
                <w:szCs w:val="19"/>
                <w:color w:val="auto"/>
              </w:rPr>
            </w:pPr>
          </w:p>
        </w:tc>
        <w:tc>
          <w:tcPr>
            <w:tcW w:w="20" w:type="dxa"/>
            <w:vAlign w:val="bottom"/>
            <w:tcBorders>
              <w:top w:val="single" w:sz="8" w:color="E2E3E4"/>
              <w:bottom w:val="single" w:sz="8" w:color="E2E3E4"/>
            </w:tcBorders>
            <w:shd w:val="clear" w:color="auto" w:fill="E2E3E4"/>
          </w:tcPr>
          <w:p>
            <w:pPr>
              <w:spacing w:after="0"/>
              <w:rPr>
                <w:sz w:val="19"/>
                <w:szCs w:val="19"/>
                <w:color w:val="auto"/>
              </w:rPr>
            </w:pPr>
          </w:p>
        </w:tc>
        <w:tc>
          <w:tcPr>
            <w:tcW w:w="100" w:type="dxa"/>
            <w:vAlign w:val="bottom"/>
            <w:tcBorders>
              <w:top w:val="single" w:sz="8" w:color="E2E3E4"/>
              <w:bottom w:val="single" w:sz="8" w:color="231F20"/>
            </w:tcBorders>
            <w:shd w:val="clear" w:color="auto" w:fill="E2E3E4"/>
          </w:tcPr>
          <w:p>
            <w:pPr>
              <w:spacing w:after="0"/>
              <w:rPr>
                <w:sz w:val="19"/>
                <w:szCs w:val="19"/>
                <w:color w:val="auto"/>
              </w:rPr>
            </w:pPr>
          </w:p>
        </w:tc>
        <w:tc>
          <w:tcPr>
            <w:tcW w:w="1600" w:type="dxa"/>
            <w:vAlign w:val="bottom"/>
            <w:tcBorders>
              <w:top w:val="single" w:sz="8" w:color="E2E3E4"/>
              <w:bottom w:val="single" w:sz="8" w:color="231F20"/>
            </w:tcBorders>
            <w:shd w:val="clear" w:color="auto" w:fill="E2E3E4"/>
          </w:tcPr>
          <w:p>
            <w:pPr>
              <w:jc w:val="right"/>
              <w:spacing w:after="0" w:line="207" w:lineRule="exact"/>
              <w:rPr>
                <w:sz w:val="20"/>
                <w:szCs w:val="20"/>
                <w:color w:val="auto"/>
              </w:rPr>
            </w:pPr>
            <w:r>
              <w:rPr>
                <w:rFonts w:ascii="Times New Roman" w:cs="Times New Roman" w:eastAsia="Times New Roman" w:hAnsi="Times New Roman"/>
                <w:sz w:val="19"/>
                <w:szCs w:val="19"/>
                <w:color w:val="231F20"/>
              </w:rPr>
              <w:t>130,009</w:t>
            </w:r>
          </w:p>
        </w:tc>
        <w:tc>
          <w:tcPr>
            <w:tcW w:w="100" w:type="dxa"/>
            <w:vAlign w:val="bottom"/>
            <w:tcBorders>
              <w:top w:val="single" w:sz="8" w:color="E2E3E4"/>
              <w:bottom w:val="single" w:sz="8" w:color="E2E3E4"/>
            </w:tcBorders>
            <w:shd w:val="clear" w:color="auto" w:fill="E2E3E4"/>
          </w:tcPr>
          <w:p>
            <w:pPr>
              <w:spacing w:after="0"/>
              <w:rPr>
                <w:sz w:val="19"/>
                <w:szCs w:val="19"/>
                <w:color w:val="auto"/>
              </w:rPr>
            </w:pPr>
          </w:p>
        </w:tc>
      </w:tr>
      <w:tr>
        <w:trPr>
          <w:trHeight w:val="232"/>
        </w:trPr>
        <w:tc>
          <w:tcPr>
            <w:tcW w:w="4680" w:type="dxa"/>
            <w:vAlign w:val="bottom"/>
            <w:tcBorders>
              <w:bottom w:val="single" w:sz="8" w:color="E2E3E4"/>
            </w:tcBorders>
            <w:gridSpan w:val="2"/>
          </w:tcPr>
          <w:p>
            <w:pPr>
              <w:spacing w:after="0" w:line="207" w:lineRule="exact"/>
              <w:rPr>
                <w:sz w:val="20"/>
                <w:szCs w:val="20"/>
                <w:color w:val="auto"/>
              </w:rPr>
            </w:pPr>
            <w:r>
              <w:rPr>
                <w:rFonts w:ascii="Times New Roman" w:cs="Times New Roman" w:eastAsia="Times New Roman" w:hAnsi="Times New Roman"/>
                <w:sz w:val="19"/>
                <w:szCs w:val="19"/>
                <w:color w:val="231F20"/>
              </w:rPr>
              <w:t>General and administrative expenses</w:t>
            </w:r>
          </w:p>
        </w:tc>
        <w:tc>
          <w:tcPr>
            <w:tcW w:w="10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75,331</w:t>
            </w:r>
          </w:p>
        </w:tc>
        <w:tc>
          <w:tcPr>
            <w:tcW w:w="280" w:type="dxa"/>
            <w:vAlign w:val="bottom"/>
            <w:tcBorders>
              <w:bottom w:val="single" w:sz="8" w:color="E2E3E4"/>
            </w:tcBorders>
          </w:tcPr>
          <w:p>
            <w:pPr>
              <w:spacing w:after="0"/>
              <w:rPr>
                <w:sz w:val="19"/>
                <w:szCs w:val="19"/>
                <w:color w:val="auto"/>
              </w:rPr>
            </w:pPr>
          </w:p>
        </w:tc>
        <w:tc>
          <w:tcPr>
            <w:tcW w:w="20" w:type="dxa"/>
            <w:vAlign w:val="bottom"/>
            <w:tcBorders>
              <w:bottom w:val="single" w:sz="8" w:color="E2E3E4"/>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6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59,023</w:t>
            </w:r>
          </w:p>
        </w:tc>
        <w:tc>
          <w:tcPr>
            <w:tcW w:w="280" w:type="dxa"/>
            <w:vAlign w:val="bottom"/>
            <w:tcBorders>
              <w:bottom w:val="single" w:sz="8" w:color="E2E3E4"/>
            </w:tcBorders>
          </w:tcPr>
          <w:p>
            <w:pPr>
              <w:spacing w:after="0"/>
              <w:rPr>
                <w:sz w:val="19"/>
                <w:szCs w:val="19"/>
                <w:color w:val="auto"/>
              </w:rPr>
            </w:pPr>
          </w:p>
        </w:tc>
        <w:tc>
          <w:tcPr>
            <w:tcW w:w="20" w:type="dxa"/>
            <w:vAlign w:val="bottom"/>
            <w:tcBorders>
              <w:bottom w:val="single" w:sz="8" w:color="E2E3E4"/>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600" w:type="dxa"/>
            <w:vAlign w:val="bottom"/>
            <w:tcBorders>
              <w:bottom w:val="single" w:sz="8" w:color="231F20"/>
            </w:tcBorders>
          </w:tcPr>
          <w:p>
            <w:pPr>
              <w:jc w:val="right"/>
              <w:spacing w:after="0" w:line="207" w:lineRule="exact"/>
              <w:rPr>
                <w:sz w:val="20"/>
                <w:szCs w:val="20"/>
                <w:color w:val="auto"/>
              </w:rPr>
            </w:pPr>
            <w:r>
              <w:rPr>
                <w:rFonts w:ascii="Times New Roman" w:cs="Times New Roman" w:eastAsia="Times New Roman" w:hAnsi="Times New Roman"/>
                <w:sz w:val="19"/>
                <w:szCs w:val="19"/>
                <w:color w:val="231F20"/>
              </w:rPr>
              <w:t>51,292</w:t>
            </w:r>
          </w:p>
        </w:tc>
        <w:tc>
          <w:tcPr>
            <w:tcW w:w="100" w:type="dxa"/>
            <w:vAlign w:val="bottom"/>
            <w:tcBorders>
              <w:bottom w:val="single" w:sz="8" w:color="E2E3E4"/>
            </w:tcBorders>
          </w:tcPr>
          <w:p>
            <w:pPr>
              <w:spacing w:after="0"/>
              <w:rPr>
                <w:sz w:val="19"/>
                <w:szCs w:val="19"/>
                <w:color w:val="auto"/>
              </w:rPr>
            </w:pPr>
          </w:p>
        </w:tc>
      </w:tr>
      <w:tr>
        <w:trPr>
          <w:trHeight w:val="208"/>
        </w:trPr>
        <w:tc>
          <w:tcPr>
            <w:tcW w:w="4660" w:type="dxa"/>
            <w:vAlign w:val="bottom"/>
            <w:tcBorders>
              <w:top w:val="single" w:sz="8" w:color="E2E3E4"/>
            </w:tcBorders>
            <w:shd w:val="clear" w:color="auto" w:fill="E2E3E4"/>
          </w:tcPr>
          <w:p>
            <w:pPr>
              <w:spacing w:after="0" w:line="208" w:lineRule="exact"/>
              <w:rPr>
                <w:sz w:val="20"/>
                <w:szCs w:val="20"/>
                <w:color w:val="auto"/>
              </w:rPr>
            </w:pPr>
            <w:r>
              <w:rPr>
                <w:rFonts w:ascii="Times New Roman" w:cs="Times New Roman" w:eastAsia="Times New Roman" w:hAnsi="Times New Roman"/>
                <w:sz w:val="19"/>
                <w:szCs w:val="19"/>
                <w:color w:val="231F20"/>
              </w:rPr>
              <w:t>Total operating expenses</w:t>
            </w: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E2E3E4"/>
              <w:bottom w:val="single" w:sz="8" w:color="231F20"/>
            </w:tcBorders>
            <w:shd w:val="clear" w:color="auto" w:fill="E2E3E4"/>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2E3E4"/>
              </w:rPr>
              <w:t>$</w:t>
            </w:r>
          </w:p>
        </w:tc>
        <w:tc>
          <w:tcPr>
            <w:tcW w:w="920" w:type="dxa"/>
            <w:vAlign w:val="bottom"/>
            <w:tcBorders>
              <w:top w:val="single" w:sz="8" w:color="E2E3E4"/>
              <w:bottom w:val="single" w:sz="8" w:color="231F20"/>
            </w:tcBorders>
            <w:shd w:val="clear" w:color="auto" w:fill="E2E3E4"/>
          </w:tcPr>
          <w:p>
            <w:pPr>
              <w:spacing w:after="0"/>
              <w:rPr>
                <w:sz w:val="18"/>
                <w:szCs w:val="18"/>
                <w:color w:val="auto"/>
              </w:rPr>
            </w:pPr>
          </w:p>
        </w:tc>
        <w:tc>
          <w:tcPr>
            <w:tcW w:w="68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258,110</w:t>
            </w:r>
          </w:p>
        </w:tc>
        <w:tc>
          <w:tcPr>
            <w:tcW w:w="28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6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218,705</w:t>
            </w:r>
          </w:p>
        </w:tc>
        <w:tc>
          <w:tcPr>
            <w:tcW w:w="280" w:type="dxa"/>
            <w:vAlign w:val="bottom"/>
            <w:tcBorders>
              <w:top w:val="single" w:sz="8" w:color="E2E3E4"/>
            </w:tcBorders>
            <w:shd w:val="clear" w:color="auto" w:fill="E2E3E4"/>
          </w:tcPr>
          <w:p>
            <w:pPr>
              <w:spacing w:after="0"/>
              <w:rPr>
                <w:sz w:val="18"/>
                <w:szCs w:val="18"/>
                <w:color w:val="auto"/>
              </w:rPr>
            </w:pPr>
          </w:p>
        </w:tc>
        <w:tc>
          <w:tcPr>
            <w:tcW w:w="20" w:type="dxa"/>
            <w:vAlign w:val="bottom"/>
            <w:tcBorders>
              <w:top w:val="single" w:sz="8" w:color="E2E3E4"/>
              <w:bottom w:val="single" w:sz="8" w:color="231F20"/>
            </w:tcBorders>
            <w:shd w:val="clear" w:color="auto" w:fill="E2E3E4"/>
          </w:tcPr>
          <w:p>
            <w:pPr>
              <w:spacing w:after="0"/>
              <w:rPr>
                <w:sz w:val="18"/>
                <w:szCs w:val="18"/>
                <w:color w:val="auto"/>
              </w:rPr>
            </w:pPr>
          </w:p>
        </w:tc>
        <w:tc>
          <w:tcPr>
            <w:tcW w:w="1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w w:val="83"/>
                <w:shd w:val="clear" w:color="auto" w:fill="E2E3E4"/>
              </w:rPr>
              <w:t>$</w:t>
            </w:r>
          </w:p>
        </w:tc>
        <w:tc>
          <w:tcPr>
            <w:tcW w:w="1600" w:type="dxa"/>
            <w:vAlign w:val="bottom"/>
            <w:tcBorders>
              <w:top w:val="single" w:sz="8" w:color="E2E3E4"/>
              <w:bottom w:val="single" w:sz="8" w:color="231F20"/>
            </w:tcBorders>
            <w:shd w:val="clear" w:color="auto" w:fill="E2E3E4"/>
          </w:tcPr>
          <w:p>
            <w:pPr>
              <w:jc w:val="right"/>
              <w:spacing w:after="0" w:line="208" w:lineRule="exact"/>
              <w:rPr>
                <w:sz w:val="20"/>
                <w:szCs w:val="20"/>
                <w:color w:val="auto"/>
              </w:rPr>
            </w:pPr>
            <w:r>
              <w:rPr>
                <w:rFonts w:ascii="Times New Roman" w:cs="Times New Roman" w:eastAsia="Times New Roman" w:hAnsi="Times New Roman"/>
                <w:sz w:val="19"/>
                <w:szCs w:val="19"/>
                <w:color w:val="231F20"/>
              </w:rPr>
              <w:t>181,301</w:t>
            </w:r>
          </w:p>
        </w:tc>
        <w:tc>
          <w:tcPr>
            <w:tcW w:w="100" w:type="dxa"/>
            <w:vAlign w:val="bottom"/>
            <w:tcBorders>
              <w:top w:val="single" w:sz="8" w:color="E2E3E4"/>
            </w:tcBorders>
            <w:shd w:val="clear" w:color="auto" w:fill="E2E3E4"/>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2967990</wp:posOffset>
                </wp:positionH>
                <wp:positionV relativeFrom="paragraph">
                  <wp:posOffset>-1779270</wp:posOffset>
                </wp:positionV>
                <wp:extent cx="361886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886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7pt,-140.0999pt" to="518.65pt,-140.09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4047490</wp:posOffset>
                </wp:positionH>
                <wp:positionV relativeFrom="paragraph">
                  <wp:posOffset>-1658620</wp:posOffset>
                </wp:positionV>
                <wp:extent cx="19050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pt,-130.5999pt" to="333.7pt,-130.59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-1386205</wp:posOffset>
                </wp:positionV>
                <wp:extent cx="665226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26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1499pt" to="523.8pt,-109.14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-1084580</wp:posOffset>
                </wp:positionV>
                <wp:extent cx="665226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260" cy="4763"/>
                        </a:xfrm>
                        <a:prstGeom prst="line">
                          <a:avLst/>
                        </a:prstGeom>
                        <a:solidFill>
                          <a:srgbClr val="FFFFFF"/>
                        </a:solidFill>
                        <a:ln w="8876">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3999pt" to="523.8pt,-85.3999pt" o:allowincell="f" strokecolor="#FFFFFF" strokeweight="0.698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-784860</wp:posOffset>
                </wp:positionV>
                <wp:extent cx="665226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260" cy="4763"/>
                        </a:xfrm>
                        <a:prstGeom prst="line">
                          <a:avLst/>
                        </a:prstGeom>
                        <a:solidFill>
                          <a:srgbClr val="FFFFFF"/>
                        </a:solidFill>
                        <a:ln w="8864">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7999pt" to="523.8pt,-61.7999pt" o:allowincell="f" strokecolor="#FFFFFF" strokeweight="0.698pt"/>
            </w:pict>
          </mc:Fallback>
        </mc:AlternateContent>
        <mc:AlternateContent>
          <mc:Choice Requires="wps">
            <w:drawing>
              <wp:anchor simplePos="0" relativeHeight="251657728" behindDoc="1" locked="0" layoutInCell="0" allowOverlap="1">
                <wp:simplePos x="0" y="0"/>
                <wp:positionH relativeFrom="column">
                  <wp:posOffset>2967990</wp:posOffset>
                </wp:positionH>
                <wp:positionV relativeFrom="paragraph">
                  <wp:posOffset>-330835</wp:posOffset>
                </wp:positionV>
                <wp:extent cx="107950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0"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7pt,-26.0499pt" to="318.7pt,-26.0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4047490</wp:posOffset>
                </wp:positionH>
                <wp:positionV relativeFrom="paragraph">
                  <wp:posOffset>-334010</wp:posOffset>
                </wp:positionV>
                <wp:extent cx="19050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4763"/>
                        </a:xfrm>
                        <a:prstGeom prst="line">
                          <a:avLst/>
                        </a:prstGeom>
                        <a:solidFill>
                          <a:srgbClr val="FFFFFF"/>
                        </a:solidFill>
                        <a:ln w="14782">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pt,-26.2999pt" to="333.7pt,-26.2999pt" o:allowincell="f" strokecolor="#FFFFFF" strokeweight="1.1639pt"/>
            </w:pict>
          </mc:Fallback>
        </mc:AlternateContent>
        <mc:AlternateContent>
          <mc:Choice Requires="wps">
            <w:drawing>
              <wp:anchor simplePos="0" relativeHeight="251657728" behindDoc="1" locked="0" layoutInCell="0" allowOverlap="1">
                <wp:simplePos x="0" y="0"/>
                <wp:positionH relativeFrom="column">
                  <wp:posOffset>4237990</wp:posOffset>
                </wp:positionH>
                <wp:positionV relativeFrom="paragraph">
                  <wp:posOffset>-330835</wp:posOffset>
                </wp:positionV>
                <wp:extent cx="107886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886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7pt,-26.0499pt" to="418.65pt,-26.0499pt" o:allowincell="f" strokecolor="#FFFFFF" strokeweight="0.699pt"/>
            </w:pict>
          </mc:Fallback>
        </mc:AlternateContent>
        <mc:AlternateContent>
          <mc:Choice Requires="wps">
            <w:drawing>
              <wp:anchor simplePos="0" relativeHeight="251657728" behindDoc="1" locked="0" layoutInCell="0" allowOverlap="1">
                <wp:simplePos x="0" y="0"/>
                <wp:positionH relativeFrom="column">
                  <wp:posOffset>5507990</wp:posOffset>
                </wp:positionH>
                <wp:positionV relativeFrom="paragraph">
                  <wp:posOffset>-330835</wp:posOffset>
                </wp:positionV>
                <wp:extent cx="107886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8865" cy="4763"/>
                        </a:xfrm>
                        <a:prstGeom prst="line">
                          <a:avLst/>
                        </a:prstGeom>
                        <a:solidFill>
                          <a:srgbClr val="FFFFFF"/>
                        </a:solidFill>
                        <a:ln w="8877">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7pt,-26.0499pt" to="518.65pt,-26.0499pt" o:allowincell="f" strokecolor="#FFFFFF" strokeweight="0.699pt"/>
            </w:pict>
          </mc:Fallback>
        </mc:AlternateContent>
      </w:r>
    </w:p>
    <w:p>
      <w:pPr>
        <w:spacing w:after="0" w:line="183" w:lineRule="exact"/>
        <w:rPr>
          <w:sz w:val="20"/>
          <w:szCs w:val="20"/>
          <w:color w:val="auto"/>
        </w:rPr>
      </w:pPr>
    </w:p>
    <w:p>
      <w:pPr>
        <w:ind w:left="700" w:right="260" w:hanging="2"/>
        <w:spacing w:after="0" w:line="267" w:lineRule="auto"/>
        <w:tabs>
          <w:tab w:leader="none" w:pos="977" w:val="left"/>
        </w:tabs>
        <w:numPr>
          <w:ilvl w:val="0"/>
          <w:numId w:val="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F-27</w:t>
      </w:r>
    </w:p>
    <w:p>
      <w:pPr>
        <w:sectPr>
          <w:pgSz w:w="11880" w:h="15480" w:orient="portrait"/>
          <w:cols w:equalWidth="0" w:num="1">
            <w:col w:w="10480"/>
          </w:cols>
          <w:pgMar w:left="700" w:top="954" w:right="700" w:bottom="213" w:gutter="0" w:footer="0" w:header="0"/>
        </w:sectPr>
      </w:pPr>
    </w:p>
    <w:bookmarkStart w:id="131" w:name="page132"/>
    <w:bookmarkEnd w:id="13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2" w:name="page133"/>
    <w:bookmarkEnd w:id="132"/>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31F20"/>
        </w:rPr>
        <w:t>MANAGEMENT TEAM</w:t>
      </w:r>
    </w:p>
    <w:p>
      <w:pPr>
        <w:spacing w:after="0" w:line="27" w:lineRule="exact"/>
        <w:rPr>
          <w:sz w:val="20"/>
          <w:szCs w:val="20"/>
          <w:color w:val="auto"/>
        </w:rPr>
      </w:pPr>
    </w:p>
    <w:p>
      <w:pPr>
        <w:spacing w:after="0"/>
        <w:rPr>
          <w:sz w:val="20"/>
          <w:szCs w:val="20"/>
          <w:color w:val="auto"/>
        </w:rPr>
      </w:pPr>
      <w:r>
        <w:rPr>
          <w:rFonts w:ascii="Calibri" w:cs="Calibri" w:eastAsia="Calibri" w:hAnsi="Calibri"/>
          <w:sz w:val="16"/>
          <w:szCs w:val="16"/>
          <w:color w:val="231F20"/>
        </w:rPr>
        <w:t>Paul Bolno, MD, MBA</w:t>
      </w:r>
    </w:p>
    <w:p>
      <w:pPr>
        <w:spacing w:after="0" w:line="237" w:lineRule="auto"/>
        <w:rPr>
          <w:sz w:val="20"/>
          <w:szCs w:val="20"/>
          <w:color w:val="auto"/>
        </w:rPr>
      </w:pPr>
      <w:r>
        <w:rPr>
          <w:rFonts w:ascii="Calibri" w:cs="Calibri" w:eastAsia="Calibri" w:hAnsi="Calibri"/>
          <w:sz w:val="16"/>
          <w:szCs w:val="16"/>
          <w:i w:val="1"/>
          <w:iCs w:val="1"/>
          <w:color w:val="231F20"/>
        </w:rPr>
        <w:t>President and Chief Executive Officer</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Chris Francis, PhD</w:t>
      </w:r>
    </w:p>
    <w:p>
      <w:pPr>
        <w:spacing w:after="0" w:line="18"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Chief Strategy Officer</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Erik Ingelsson, MD, PhD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Chief Scientific Officer</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Daryn Lewis</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SVP, Head of Human Resources</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Kyle Moran, CFA</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Chief Financial Officer</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Linda Rockett, Esq.</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SVP, General Counsel</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Sridhar Vaddeboina, PhD, MBA</w:t>
      </w:r>
    </w:p>
    <w:p>
      <w:pPr>
        <w:spacing w:after="0" w:line="18"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SVP, Chemistry, Manufacturing and Controls</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Chandra Vargeese, PhD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Chief Technology Officer, Head of Platform Discovery Sciences</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Monika Vnuk, MD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Chief Business Officer</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Chris Wright, MD, PhD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Chief Medical Officer</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Ginnie (Hsiu-Chiung) Yang, PhD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SVP, Translational Medicine</w:t>
      </w:r>
    </w:p>
    <w:p>
      <w:pPr>
        <w:spacing w:after="0" w:line="18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31F20"/>
        </w:rPr>
        <w:t>BOARD OF DIRECTORS</w:t>
      </w:r>
    </w:p>
    <w:p>
      <w:pPr>
        <w:spacing w:after="0" w:line="26" w:lineRule="exact"/>
        <w:rPr>
          <w:sz w:val="20"/>
          <w:szCs w:val="20"/>
          <w:color w:val="auto"/>
        </w:rPr>
      </w:pPr>
    </w:p>
    <w:p>
      <w:pPr>
        <w:spacing w:after="0"/>
        <w:rPr>
          <w:sz w:val="20"/>
          <w:szCs w:val="20"/>
          <w:color w:val="auto"/>
        </w:rPr>
      </w:pPr>
      <w:r>
        <w:rPr>
          <w:rFonts w:ascii="Calibri" w:cs="Calibri" w:eastAsia="Calibri" w:hAnsi="Calibri"/>
          <w:sz w:val="16"/>
          <w:szCs w:val="16"/>
          <w:color w:val="231F20"/>
        </w:rPr>
        <w:t>Christian Henry, MBA</w:t>
      </w:r>
    </w:p>
    <w:p>
      <w:pPr>
        <w:spacing w:after="0" w:line="237" w:lineRule="auto"/>
        <w:rPr>
          <w:sz w:val="20"/>
          <w:szCs w:val="20"/>
          <w:color w:val="auto"/>
        </w:rPr>
      </w:pPr>
      <w:r>
        <w:rPr>
          <w:rFonts w:ascii="Calibri" w:cs="Calibri" w:eastAsia="Calibri" w:hAnsi="Calibri"/>
          <w:sz w:val="16"/>
          <w:szCs w:val="16"/>
          <w:i w:val="1"/>
          <w:iCs w:val="1"/>
          <w:color w:val="231F20"/>
        </w:rPr>
        <w:t>Chairman of the Board, Wave Life Sciences, Inc.</w:t>
      </w:r>
    </w:p>
    <w:p>
      <w:pPr>
        <w:spacing w:after="0"/>
        <w:rPr>
          <w:sz w:val="20"/>
          <w:szCs w:val="20"/>
          <w:color w:val="auto"/>
        </w:rPr>
      </w:pPr>
      <w:r>
        <w:rPr>
          <w:rFonts w:ascii="Calibri" w:cs="Calibri" w:eastAsia="Calibri" w:hAnsi="Calibri"/>
          <w:sz w:val="16"/>
          <w:szCs w:val="16"/>
          <w:i w:val="1"/>
          <w:iCs w:val="1"/>
          <w:color w:val="231F20"/>
        </w:rPr>
        <w:t>Formerly President and Chief Executive Officer, Pacific Biosciences</w:t>
      </w:r>
    </w:p>
    <w:p>
      <w:pPr>
        <w:spacing w:after="0" w:line="192" w:lineRule="exact"/>
        <w:rPr>
          <w:sz w:val="20"/>
          <w:szCs w:val="20"/>
          <w:color w:val="auto"/>
        </w:rPr>
      </w:pPr>
    </w:p>
    <w:p>
      <w:pPr>
        <w:spacing w:after="0"/>
        <w:rPr>
          <w:sz w:val="20"/>
          <w:szCs w:val="20"/>
          <w:color w:val="auto"/>
        </w:rPr>
      </w:pPr>
      <w:r>
        <w:rPr>
          <w:rFonts w:ascii="Calibri" w:cs="Calibri" w:eastAsia="Calibri" w:hAnsi="Calibri"/>
          <w:sz w:val="16"/>
          <w:szCs w:val="16"/>
          <w:color w:val="231F20"/>
        </w:rPr>
        <w:t>Paul B. Bolno, MD, MBA</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President and Chief Executive Officer, Wave Life Sciences, Inc.</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Mark H.N. Corrigan, MD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Strategic Advisor, Ceretype Neuromedicine.</w:t>
      </w:r>
    </w:p>
    <w:p>
      <w:pPr>
        <w:spacing w:after="0" w:line="190" w:lineRule="exact"/>
        <w:rPr>
          <w:sz w:val="20"/>
          <w:szCs w:val="20"/>
          <w:color w:val="auto"/>
        </w:rPr>
      </w:pPr>
    </w:p>
    <w:p>
      <w:pPr>
        <w:spacing w:after="0"/>
        <w:rPr>
          <w:sz w:val="20"/>
          <w:szCs w:val="20"/>
          <w:color w:val="auto"/>
        </w:rPr>
      </w:pPr>
      <w:r>
        <w:rPr>
          <w:rFonts w:ascii="Calibri" w:cs="Calibri" w:eastAsia="Calibri" w:hAnsi="Calibri"/>
          <w:sz w:val="16"/>
          <w:szCs w:val="16"/>
          <w:color w:val="231F20"/>
        </w:rPr>
        <w:t>Peter Kolchinsky, PhD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Founder &amp; Managing Partner, RA Capital Management</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Adrian Rawcliffe</w:t>
      </w:r>
    </w:p>
    <w:p>
      <w:pPr>
        <w:spacing w:after="0" w:line="18"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CEO-Partner and Chief Executive Officer, Etiome Inc.</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Ken Takanashi, MBA, CPA</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Vice Chairman, Shin Nippon Biomedical Laboratories Ltd.</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Aik Na Tan</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SVP (Administration) at Nanyang Technological University, Singapore</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Gregory Verdine, PhD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Erving Professor of Chemistry, Harvard University</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231F20"/>
        </w:rPr>
        <w:t>Heidi L. Wagner, JD</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231F20"/>
        </w:rPr>
        <w:t>Formerly Global Head of Government Affairs, ElevateBio, LLC</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Calibri" w:cs="Calibri" w:eastAsia="Calibri" w:hAnsi="Calibri"/>
          <w:sz w:val="16"/>
          <w:szCs w:val="16"/>
          <w:b w:val="1"/>
          <w:bCs w:val="1"/>
          <w:color w:val="231F20"/>
        </w:rPr>
        <w:t>COMMON STOCK LISTING</w:t>
      </w:r>
    </w:p>
    <w:p>
      <w:pPr>
        <w:spacing w:after="0" w:line="26"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Nasdaq Global Market</w:t>
      </w:r>
    </w:p>
    <w:p>
      <w:pPr>
        <w:spacing w:after="0" w:line="108" w:lineRule="exact"/>
        <w:rPr>
          <w:sz w:val="20"/>
          <w:szCs w:val="20"/>
          <w:color w:val="auto"/>
        </w:rPr>
      </w:pPr>
    </w:p>
    <w:p>
      <w:pPr>
        <w:ind w:left="40"/>
        <w:spacing w:after="0"/>
        <w:rPr>
          <w:sz w:val="20"/>
          <w:szCs w:val="20"/>
          <w:color w:val="auto"/>
        </w:rPr>
      </w:pPr>
      <w:r>
        <w:rPr>
          <w:rFonts w:ascii="Calibri" w:cs="Calibri" w:eastAsia="Calibri" w:hAnsi="Calibri"/>
          <w:sz w:val="16"/>
          <w:szCs w:val="16"/>
          <w:b w:val="1"/>
          <w:bCs w:val="1"/>
          <w:color w:val="231F20"/>
        </w:rPr>
        <w:t>TRADING SYMBOL</w:t>
      </w:r>
    </w:p>
    <w:p>
      <w:pPr>
        <w:spacing w:after="0" w:line="27" w:lineRule="exact"/>
        <w:rPr>
          <w:sz w:val="20"/>
          <w:szCs w:val="20"/>
          <w:color w:val="auto"/>
        </w:rPr>
      </w:pPr>
    </w:p>
    <w:p>
      <w:pPr>
        <w:ind w:left="40"/>
        <w:spacing w:after="0"/>
        <w:rPr>
          <w:sz w:val="20"/>
          <w:szCs w:val="20"/>
          <w:color w:val="auto"/>
        </w:rPr>
      </w:pPr>
      <w:r>
        <w:rPr>
          <w:rFonts w:ascii="Calibri" w:cs="Calibri" w:eastAsia="Calibri" w:hAnsi="Calibri"/>
          <w:sz w:val="16"/>
          <w:szCs w:val="16"/>
          <w:color w:val="231F20"/>
        </w:rPr>
        <w:t>WVE</w:t>
      </w:r>
    </w:p>
    <w:p>
      <w:pPr>
        <w:spacing w:after="0" w:line="12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231F20"/>
        </w:rPr>
        <w:t>INDEPENDENT ACCOUNTING FIRM</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KPMG LLP</w:t>
      </w:r>
    </w:p>
    <w:p>
      <w:pPr>
        <w:spacing w:after="0" w:line="179"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231F20"/>
        </w:rPr>
        <w:t>INVESTOR RELATIONS</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Kate Rausch</w:t>
      </w:r>
    </w:p>
    <w:p>
      <w:pPr>
        <w:ind w:left="20"/>
        <w:spacing w:after="0" w:line="237" w:lineRule="auto"/>
        <w:rPr>
          <w:sz w:val="20"/>
          <w:szCs w:val="20"/>
          <w:color w:val="auto"/>
        </w:rPr>
      </w:pPr>
      <w:r>
        <w:rPr>
          <w:rFonts w:ascii="Calibri" w:cs="Calibri" w:eastAsia="Calibri" w:hAnsi="Calibri"/>
          <w:sz w:val="16"/>
          <w:szCs w:val="16"/>
          <w:i w:val="1"/>
          <w:iCs w:val="1"/>
          <w:color w:val="231F20"/>
        </w:rPr>
        <w:t>VP, Investor Relations and Corporate Affairs</w:t>
      </w:r>
    </w:p>
    <w:p>
      <w:pPr>
        <w:spacing w:after="0" w:line="188"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James Salierno</w:t>
      </w:r>
    </w:p>
    <w:p>
      <w:pPr>
        <w:spacing w:after="0" w:line="19" w:lineRule="exact"/>
        <w:rPr>
          <w:sz w:val="20"/>
          <w:szCs w:val="20"/>
          <w:color w:val="auto"/>
        </w:rPr>
      </w:pPr>
    </w:p>
    <w:p>
      <w:pPr>
        <w:ind w:left="20"/>
        <w:spacing w:after="0"/>
        <w:rPr>
          <w:sz w:val="20"/>
          <w:szCs w:val="20"/>
          <w:color w:val="auto"/>
        </w:rPr>
      </w:pPr>
      <w:r>
        <w:rPr>
          <w:rFonts w:ascii="Calibri" w:cs="Calibri" w:eastAsia="Calibri" w:hAnsi="Calibri"/>
          <w:sz w:val="16"/>
          <w:szCs w:val="16"/>
          <w:i w:val="1"/>
          <w:iCs w:val="1"/>
          <w:color w:val="231F20"/>
        </w:rPr>
        <w:t>Director, Investor Relations</w:t>
      </w:r>
    </w:p>
    <w:p>
      <w:pPr>
        <w:spacing w:after="0" w:line="188" w:lineRule="exact"/>
        <w:rPr>
          <w:sz w:val="20"/>
          <w:szCs w:val="20"/>
          <w:color w:val="auto"/>
        </w:rPr>
      </w:pPr>
    </w:p>
    <w:p>
      <w:pPr>
        <w:ind w:left="40"/>
        <w:spacing w:after="0"/>
        <w:rPr>
          <w:sz w:val="20"/>
          <w:szCs w:val="20"/>
          <w:color w:val="auto"/>
        </w:rPr>
      </w:pPr>
      <w:r>
        <w:rPr>
          <w:rFonts w:ascii="Calibri" w:cs="Calibri" w:eastAsia="Calibri" w:hAnsi="Calibri"/>
          <w:sz w:val="16"/>
          <w:szCs w:val="16"/>
          <w:color w:val="231F20"/>
        </w:rPr>
        <w:t>InvestorRelations@wavelifesci.com</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231F20"/>
        </w:rPr>
        <w:t>TRANSFER AGENT</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Computershare</w:t>
      </w:r>
    </w:p>
    <w:p>
      <w:pPr>
        <w:spacing w:after="0" w:line="182" w:lineRule="exact"/>
        <w:rPr>
          <w:sz w:val="20"/>
          <w:szCs w:val="20"/>
          <w:color w:val="auto"/>
        </w:rPr>
      </w:pPr>
    </w:p>
    <w:p>
      <w:pPr>
        <w:ind w:left="20"/>
        <w:spacing w:after="0"/>
        <w:rPr>
          <w:sz w:val="20"/>
          <w:szCs w:val="20"/>
          <w:color w:val="auto"/>
        </w:rPr>
      </w:pPr>
      <w:r>
        <w:rPr>
          <w:rFonts w:ascii="Calibri" w:cs="Calibri" w:eastAsia="Calibri" w:hAnsi="Calibri"/>
          <w:sz w:val="16"/>
          <w:szCs w:val="16"/>
          <w:i w:val="1"/>
          <w:iCs w:val="1"/>
          <w:color w:val="231F20"/>
        </w:rPr>
        <w:t>By Regular Mail</w:t>
      </w:r>
    </w:p>
    <w:p>
      <w:pPr>
        <w:spacing w:after="0" w:line="15"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PO Box 43006</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Providence RI 02940-3006</w:t>
      </w:r>
    </w:p>
    <w:p>
      <w:pPr>
        <w:spacing w:after="0" w:line="185" w:lineRule="exact"/>
        <w:rPr>
          <w:sz w:val="20"/>
          <w:szCs w:val="20"/>
          <w:color w:val="auto"/>
        </w:rPr>
      </w:pPr>
    </w:p>
    <w:p>
      <w:pPr>
        <w:ind w:left="20"/>
        <w:spacing w:after="0"/>
        <w:rPr>
          <w:sz w:val="20"/>
          <w:szCs w:val="20"/>
          <w:color w:val="auto"/>
        </w:rPr>
      </w:pPr>
      <w:r>
        <w:rPr>
          <w:rFonts w:ascii="Calibri" w:cs="Calibri" w:eastAsia="Calibri" w:hAnsi="Calibri"/>
          <w:sz w:val="16"/>
          <w:szCs w:val="16"/>
          <w:i w:val="1"/>
          <w:iCs w:val="1"/>
          <w:color w:val="231F20"/>
        </w:rPr>
        <w:t>By Overnight Delivery</w:t>
      </w:r>
    </w:p>
    <w:p>
      <w:pPr>
        <w:spacing w:after="0" w:line="15"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150 Royall Street - Suite 101</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Canton MA 02021</w:t>
      </w:r>
    </w:p>
    <w:p>
      <w:pPr>
        <w:spacing w:after="0" w:line="188" w:lineRule="exact"/>
        <w:rPr>
          <w:sz w:val="20"/>
          <w:szCs w:val="20"/>
          <w:color w:val="auto"/>
        </w:rPr>
      </w:pPr>
    </w:p>
    <w:p>
      <w:pPr>
        <w:ind w:left="20"/>
        <w:spacing w:after="0"/>
        <w:rPr>
          <w:sz w:val="20"/>
          <w:szCs w:val="20"/>
          <w:color w:val="auto"/>
        </w:rPr>
      </w:pPr>
      <w:r>
        <w:rPr>
          <w:rFonts w:ascii="Calibri" w:cs="Calibri" w:eastAsia="Calibri" w:hAnsi="Calibri"/>
          <w:sz w:val="16"/>
          <w:szCs w:val="16"/>
          <w:i w:val="1"/>
          <w:iCs w:val="1"/>
          <w:color w:val="231F20"/>
        </w:rPr>
        <w:t>Telephone</w:t>
      </w:r>
    </w:p>
    <w:p>
      <w:pPr>
        <w:spacing w:after="0" w:line="15" w:lineRule="exact"/>
        <w:rPr>
          <w:sz w:val="20"/>
          <w:szCs w:val="20"/>
          <w:color w:val="auto"/>
        </w:rPr>
      </w:pPr>
    </w:p>
    <w:p>
      <w:pPr>
        <w:ind w:left="20"/>
        <w:spacing w:after="0"/>
        <w:rPr>
          <w:sz w:val="20"/>
          <w:szCs w:val="20"/>
          <w:color w:val="auto"/>
        </w:rPr>
      </w:pPr>
      <w:r>
        <w:rPr>
          <w:rFonts w:ascii="Calibri" w:cs="Calibri" w:eastAsia="Calibri" w:hAnsi="Calibri"/>
          <w:sz w:val="16"/>
          <w:szCs w:val="16"/>
          <w:i w:val="1"/>
          <w:iCs w:val="1"/>
          <w:color w:val="231F20"/>
        </w:rPr>
        <w:t xml:space="preserve">Toll </w:t>
      </w:r>
      <w:r>
        <w:rPr>
          <w:rFonts w:ascii="Calibri" w:cs="Calibri" w:eastAsia="Calibri" w:hAnsi="Calibri"/>
          <w:sz w:val="16"/>
          <w:szCs w:val="16"/>
          <w:color w:val="231F20"/>
        </w:rPr>
        <w:t>+1 (781) 575 3100</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6"/>
          <w:szCs w:val="16"/>
          <w:i w:val="1"/>
          <w:iCs w:val="1"/>
          <w:color w:val="231F20"/>
        </w:rPr>
        <w:t>Toll Free (</w:t>
      </w:r>
      <w:r>
        <w:rPr>
          <w:rFonts w:ascii="Calibri" w:cs="Calibri" w:eastAsia="Calibri" w:hAnsi="Calibri"/>
          <w:sz w:val="16"/>
          <w:szCs w:val="16"/>
          <w:color w:val="231F20"/>
        </w:rPr>
        <w:t>800) 736- 3001</w:t>
      </w:r>
    </w:p>
    <w:p>
      <w:pPr>
        <w:spacing w:after="0" w:line="184"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231F20"/>
        </w:rPr>
        <w:t>CORPORATE COUNSEL</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Mintz, Levin, Cohn, Ferris, Glovsky and Popeo, P.C.</w:t>
      </w:r>
    </w:p>
    <w:p>
      <w:pPr>
        <w:spacing w:after="0" w:line="180"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231F20"/>
        </w:rPr>
        <w:t>REPORTS</w:t>
      </w:r>
    </w:p>
    <w:p>
      <w:pPr>
        <w:spacing w:after="0" w:line="29" w:lineRule="exact"/>
        <w:rPr>
          <w:sz w:val="20"/>
          <w:szCs w:val="20"/>
          <w:color w:val="auto"/>
        </w:rPr>
      </w:pPr>
    </w:p>
    <w:p>
      <w:pPr>
        <w:ind w:left="20" w:right="540"/>
        <w:spacing w:after="0" w:line="242" w:lineRule="auto"/>
        <w:rPr>
          <w:sz w:val="20"/>
          <w:szCs w:val="20"/>
          <w:color w:val="auto"/>
        </w:rPr>
      </w:pPr>
      <w:r>
        <w:rPr>
          <w:rFonts w:ascii="Calibri" w:cs="Calibri" w:eastAsia="Calibri" w:hAnsi="Calibri"/>
          <w:sz w:val="16"/>
          <w:szCs w:val="16"/>
          <w:color w:val="231F20"/>
        </w:rPr>
        <w:t>Copies of the Company’s annual and quarterly reports as filed with the Securities and Exchange Commission are available at www.wavelifesciences.com</w:t>
      </w:r>
    </w:p>
    <w:p>
      <w:pPr>
        <w:spacing w:after="0" w:line="180"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231F20"/>
        </w:rPr>
        <w:t>FORWARD-LOOKING STATEMENTS</w:t>
      </w:r>
    </w:p>
    <w:p>
      <w:pPr>
        <w:spacing w:after="0" w:line="29" w:lineRule="exact"/>
        <w:rPr>
          <w:sz w:val="20"/>
          <w:szCs w:val="20"/>
          <w:color w:val="auto"/>
        </w:rPr>
      </w:pPr>
    </w:p>
    <w:p>
      <w:pPr>
        <w:ind w:right="20"/>
        <w:spacing w:after="0" w:line="244" w:lineRule="auto"/>
        <w:rPr>
          <w:sz w:val="20"/>
          <w:szCs w:val="20"/>
          <w:color w:val="auto"/>
        </w:rPr>
      </w:pPr>
      <w:r>
        <w:rPr>
          <w:rFonts w:ascii="Calibri" w:cs="Calibri" w:eastAsia="Calibri" w:hAnsi="Calibri"/>
          <w:sz w:val="16"/>
          <w:szCs w:val="16"/>
          <w:color w:val="231F20"/>
        </w:rPr>
        <w:t>Any statements in this annual report, including the letter to stockholders, about our future expectations, plans and prospects, including statements about our research and development activities, the success, progress, and timing or results of our clinical trials, development of our product candidates and expectations regarding our financial condition, including the period for which our existing cash resources will be sufficient to meet our operating requirements, constitute forward-looking statements within the meaning of The Private Securities Litigation Reform Act of 1995. Actual results may differ materially from those indicated by such forward-looking statements as a result of various important factors, including the factors discussed in the “Risk Factors” section of our Annual Report on Form 10-K included in this annual report.</w:t>
      </w:r>
    </w:p>
    <w:p>
      <w:pPr>
        <w:spacing w:after="0" w:line="183" w:lineRule="exact"/>
        <w:rPr>
          <w:sz w:val="20"/>
          <w:szCs w:val="20"/>
          <w:color w:val="auto"/>
        </w:rPr>
      </w:pPr>
    </w:p>
    <w:p>
      <w:pPr>
        <w:ind w:left="20"/>
        <w:spacing w:after="0" w:line="250" w:lineRule="auto"/>
        <w:rPr>
          <w:sz w:val="20"/>
          <w:szCs w:val="20"/>
          <w:color w:val="auto"/>
        </w:rPr>
      </w:pPr>
      <w:r>
        <w:rPr>
          <w:rFonts w:ascii="Calibri" w:cs="Calibri" w:eastAsia="Calibri" w:hAnsi="Calibri"/>
          <w:sz w:val="16"/>
          <w:szCs w:val="16"/>
          <w:color w:val="231F20"/>
        </w:rPr>
        <w:t>In addition, forward-looking statements included in this annual report, including in our letter to stockholders, represent our views only as of the date such statements were made and should not be relied upon as representing our views as of any subsequent date. We specifically disclaim any obligation to update any forward-looking statements included in this annual report, including in our letter to stockholders.</w:t>
      </w:r>
    </w:p>
    <w:p>
      <w:pPr>
        <w:spacing w:after="0" w:line="172"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231F20"/>
        </w:rPr>
        <w:t>LOCATIONS</w:t>
      </w:r>
    </w:p>
    <w:p>
      <w:pPr>
        <w:spacing w:after="0" w:line="27" w:lineRule="exact"/>
        <w:rPr>
          <w:sz w:val="20"/>
          <w:szCs w:val="20"/>
          <w:color w:val="auto"/>
        </w:rPr>
      </w:pPr>
    </w:p>
    <w:p>
      <w:pPr>
        <w:ind w:left="20"/>
        <w:spacing w:after="0"/>
        <w:rPr>
          <w:sz w:val="20"/>
          <w:szCs w:val="20"/>
          <w:color w:val="auto"/>
        </w:rPr>
      </w:pPr>
      <w:r>
        <w:rPr>
          <w:rFonts w:ascii="Calibri" w:cs="Calibri" w:eastAsia="Calibri" w:hAnsi="Calibri"/>
          <w:sz w:val="16"/>
          <w:szCs w:val="16"/>
          <w:color w:val="231F20"/>
        </w:rPr>
        <w:t>Wave Life Sciences, Inc. (Registered Address and Corporate Headquarters)</w:t>
      </w:r>
    </w:p>
    <w:p>
      <w:pPr>
        <w:spacing w:after="0"/>
        <w:rPr>
          <w:sz w:val="20"/>
          <w:szCs w:val="20"/>
          <w:color w:val="auto"/>
        </w:rPr>
      </w:pPr>
      <w:r>
        <w:rPr>
          <w:rFonts w:ascii="Calibri" w:cs="Calibri" w:eastAsia="Calibri" w:hAnsi="Calibri"/>
          <w:sz w:val="16"/>
          <w:szCs w:val="16"/>
          <w:color w:val="231F20"/>
        </w:rPr>
        <w:t>733 Concord Avenue</w:t>
      </w:r>
    </w:p>
    <w:p>
      <w:pPr>
        <w:spacing w:after="0" w:line="19" w:lineRule="exact"/>
        <w:rPr>
          <w:sz w:val="20"/>
          <w:szCs w:val="20"/>
          <w:color w:val="auto"/>
        </w:rPr>
      </w:pPr>
    </w:p>
    <w:p>
      <w:pPr>
        <w:spacing w:after="0"/>
        <w:rPr>
          <w:sz w:val="20"/>
          <w:szCs w:val="20"/>
          <w:color w:val="auto"/>
        </w:rPr>
      </w:pPr>
      <w:r>
        <w:rPr>
          <w:rFonts w:ascii="Calibri" w:cs="Calibri" w:eastAsia="Calibri" w:hAnsi="Calibri"/>
          <w:sz w:val="16"/>
          <w:szCs w:val="16"/>
          <w:color w:val="231F20"/>
        </w:rPr>
        <w:t>Cambridge, MA 02138, USA</w:t>
      </w:r>
    </w:p>
    <w:p>
      <w:pPr>
        <w:sectPr>
          <w:pgSz w:w="11880" w:h="15480" w:orient="portrait"/>
          <w:cols w:equalWidth="0" w:num="2">
            <w:col w:w="4940" w:space="720"/>
            <w:col w:w="5240"/>
          </w:cols>
          <w:pgMar w:left="480" w:top="906" w:right="500" w:bottom="958"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80"/>
        <w:spacing w:after="0" w:line="292" w:lineRule="auto"/>
        <w:rPr>
          <w:sz w:val="20"/>
          <w:szCs w:val="20"/>
          <w:color w:val="auto"/>
        </w:rPr>
      </w:pPr>
      <w:r>
        <w:rPr>
          <w:rFonts w:ascii="Arial" w:cs="Arial" w:eastAsia="Arial" w:hAnsi="Arial"/>
          <w:sz w:val="32"/>
          <w:szCs w:val="32"/>
          <w:color w:val="FFFFFF"/>
        </w:rPr>
        <w:t>Wave Life Sciences is a clinical-stage biotechnology company focused on unlocking the broad potential of RNA medicines to transform human health.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4"/>
          <w:szCs w:val="24"/>
          <w:color w:val="FFFFFF"/>
        </w:rPr>
        <w:t>Wave Life Sciences</w:t>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color w:val="FFFFFF"/>
        </w:rPr>
        <w:t>United States Headquarters</w:t>
      </w:r>
    </w:p>
    <w:p>
      <w:pPr>
        <w:spacing w:after="0" w:line="23" w:lineRule="exact"/>
        <w:rPr>
          <w:sz w:val="20"/>
          <w:szCs w:val="20"/>
          <w:color w:val="auto"/>
        </w:rPr>
      </w:pPr>
    </w:p>
    <w:p>
      <w:pPr>
        <w:spacing w:after="0"/>
        <w:rPr>
          <w:sz w:val="20"/>
          <w:szCs w:val="20"/>
          <w:color w:val="auto"/>
        </w:rPr>
      </w:pPr>
      <w:r>
        <w:rPr>
          <w:rFonts w:ascii="Arial" w:cs="Arial" w:eastAsia="Arial" w:hAnsi="Arial"/>
          <w:sz w:val="24"/>
          <w:szCs w:val="24"/>
          <w:color w:val="FFFFFF"/>
        </w:rPr>
        <w:t>733 Concord Avenue</w:t>
      </w:r>
    </w:p>
    <w:p>
      <w:pPr>
        <w:spacing w:after="0" w:line="12" w:lineRule="exact"/>
        <w:rPr>
          <w:sz w:val="20"/>
          <w:szCs w:val="20"/>
          <w:color w:val="auto"/>
        </w:rPr>
      </w:pPr>
    </w:p>
    <w:p>
      <w:pPr>
        <w:spacing w:after="0"/>
        <w:rPr>
          <w:sz w:val="20"/>
          <w:szCs w:val="20"/>
          <w:color w:val="auto"/>
        </w:rPr>
      </w:pPr>
      <w:r>
        <w:rPr>
          <w:rFonts w:ascii="Arial" w:cs="Arial" w:eastAsia="Arial" w:hAnsi="Arial"/>
          <w:sz w:val="24"/>
          <w:szCs w:val="24"/>
          <w:color w:val="FFFFFF"/>
        </w:rPr>
        <w:t>Cambridge, MA 02138</w:t>
      </w:r>
    </w:p>
    <w:p>
      <w:pPr>
        <w:spacing w:after="0" w:line="556" w:lineRule="exact"/>
        <w:rPr>
          <w:sz w:val="20"/>
          <w:szCs w:val="20"/>
          <w:color w:val="auto"/>
        </w:rPr>
      </w:pPr>
    </w:p>
    <w:p>
      <w:pPr>
        <w:sectPr>
          <w:pgSz w:w="11880" w:h="15480" w:orient="portrait"/>
          <w:cols w:equalWidth="0" w:num="2">
            <w:col w:w="6080" w:space="720"/>
            <w:col w:w="2940"/>
          </w:cols>
          <w:pgMar w:left="1040" w:top="1440" w:right="1100"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80"/>
        <w:spacing w:after="0"/>
        <w:rPr>
          <w:sz w:val="20"/>
          <w:szCs w:val="20"/>
          <w:color w:val="auto"/>
        </w:rPr>
      </w:pPr>
      <w:r>
        <w:rPr>
          <w:rFonts w:ascii="Arial" w:cs="Arial" w:eastAsia="Arial" w:hAnsi="Arial"/>
          <w:sz w:val="36"/>
          <w:szCs w:val="36"/>
          <w:color w:val="00BDE4"/>
        </w:rPr>
        <w:t>wavelifesciences.com</w:t>
      </w:r>
    </w:p>
    <w:p>
      <w:pPr>
        <w:sectPr>
          <w:pgSz w:w="11880" w:h="15480" w:orient="portrait"/>
          <w:cols w:equalWidth="0" w:num="1">
            <w:col w:w="9740"/>
          </w:cols>
          <w:pgMar w:left="1040" w:top="1440" w:right="1100" w:bottom="114" w:gutter="0" w:footer="0" w:header="0"/>
          <w:type w:val="continuous"/>
        </w:sectPr>
      </w:pPr>
    </w:p>
    <w:p>
      <w:pPr>
        <w:spacing w:after="0" w:line="305" w:lineRule="exact"/>
        <w:rPr>
          <w:sz w:val="20"/>
          <w:szCs w:val="20"/>
          <w:color w:val="auto"/>
        </w:rPr>
      </w:pPr>
    </w:p>
    <w:p>
      <w:pPr>
        <w:ind w:left="6080"/>
        <w:spacing w:after="0" w:line="219" w:lineRule="exact"/>
        <w:rPr>
          <w:sz w:val="20"/>
          <w:szCs w:val="20"/>
          <w:color w:val="auto"/>
        </w:rPr>
      </w:pPr>
      <w:r>
        <w:rPr>
          <w:rFonts w:ascii="Arial" w:cs="Arial" w:eastAsia="Arial" w:hAnsi="Arial"/>
          <w:sz w:val="18"/>
          <w:szCs w:val="18"/>
          <w:color w:val="FFFFFF"/>
        </w:rPr>
        <w:t xml:space="preserve">© 2026 Wave Life SciencesƲ </w:t>
      </w:r>
      <w:r>
        <w:rPr>
          <w:rFonts w:ascii="PMingLiU" w:cs="PMingLiU" w:eastAsia="PMingLiU" w:hAnsi="PMingLiU"/>
          <w:sz w:val="18"/>
          <w:szCs w:val="18"/>
          <w:color w:val="FFFFFF"/>
        </w:rPr>
        <w:t/>
      </w:r>
      <w:r>
        <w:rPr>
          <w:rFonts w:ascii="Arial" w:cs="Arial" w:eastAsia="Arial" w:hAnsi="Arial"/>
          <w:sz w:val="18"/>
          <w:szCs w:val="18"/>
          <w:color w:val="FFFFFF"/>
        </w:rPr>
        <w:t>1&amp;Ʊ</w:t>
      </w:r>
    </w:p>
    <w:p>
      <w:pPr>
        <w:spacing w:after="0" w:line="70" w:lineRule="exact"/>
        <w:rPr>
          <w:sz w:val="20"/>
          <w:szCs w:val="20"/>
          <w:color w:val="auto"/>
        </w:rPr>
      </w:pPr>
    </w:p>
    <w:p>
      <w:pPr>
        <w:ind w:left="6080"/>
        <w:spacing w:after="0"/>
        <w:rPr>
          <w:sz w:val="20"/>
          <w:szCs w:val="20"/>
          <w:color w:val="auto"/>
        </w:rPr>
      </w:pPr>
      <w:r>
        <w:rPr>
          <w:rFonts w:ascii="Arial" w:cs="Arial" w:eastAsia="Arial" w:hAnsi="Arial"/>
          <w:sz w:val="20"/>
          <w:szCs w:val="20"/>
          <w:color w:val="FFFFFF"/>
        </w:rPr>
        <w:t>All rights reserved.</w:t>
      </w:r>
    </w:p>
    <w:sectPr>
      <w:pgSz w:w="11880" w:h="15480" w:orient="portrait"/>
      <w:cols w:equalWidth="0" w:num="1">
        <w:col w:w="9740"/>
      </w:cols>
      <w:pgMar w:left="1040" w:top="1440" w:right="1100" w:bottom="1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ց"/>
      <w:numFmt w:val="bullet"/>
      <w:start w:val="1"/>
    </w:lvl>
  </w:abstractNum>
  <w:abstractNum w:abstractNumId="1">
    <w:nsid w:val="22221A70"/>
    <w:multiLevelType w:val="hybridMultilevel"/>
    <w:lvl w:ilvl="0">
      <w:lvlJc w:val="left"/>
      <w:lvlText w:val="տ"/>
      <w:numFmt w:val="bullet"/>
      <w:start w:val="1"/>
    </w:lvl>
  </w:abstractNum>
  <w:abstractNum w:abstractNumId="2">
    <w:nsid w:val="4516DDE9"/>
    <w:multiLevelType w:val="hybridMultilevel"/>
    <w:lvl w:ilvl="0">
      <w:lvlJc w:val="left"/>
      <w:lvlText w:val="x"/>
      <w:numFmt w:val="bullet"/>
      <w:start w:val="1"/>
    </w:lvl>
  </w:abstractNum>
  <w:abstractNum w:abstractNumId="3">
    <w:nsid w:val="3006C83E"/>
    <w:multiLevelType w:val="hybridMultilevel"/>
    <w:lvl w:ilvl="0">
      <w:lvlJc w:val="left"/>
      <w:lvlText w:val="x"/>
      <w:numFmt w:val="bullet"/>
      <w:start w:val="1"/>
    </w:lvl>
  </w:abstractNum>
  <w:abstractNum w:abstractNumId="4">
    <w:nsid w:val="614FD4A1"/>
    <w:multiLevelType w:val="hybridMultilevel"/>
    <w:lvl w:ilvl="0">
      <w:lvlJc w:val="left"/>
      <w:lvlText w:val="%1)"/>
      <w:numFmt w:val="decimal"/>
      <w:start w:val="8"/>
    </w:lvl>
  </w:abstractNum>
  <w:abstractNum w:abstractNumId="5">
    <w:nsid w:val="419AC241"/>
    <w:multiLevelType w:val="hybridMultilevel"/>
    <w:lvl w:ilvl="0">
      <w:lvlJc w:val="left"/>
      <w:lvlText w:val="x"/>
      <w:numFmt w:val="bullet"/>
      <w:start w:val="1"/>
    </w:lvl>
  </w:abstractNum>
  <w:abstractNum w:abstractNumId="6">
    <w:nsid w:val="5577F8E1"/>
    <w:multiLevelType w:val="hybridMultilevel"/>
    <w:lvl w:ilvl="0">
      <w:lvlJc w:val="left"/>
      <w:lvlText w:val="x"/>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x"/>
      <w:numFmt w:val="bullet"/>
      <w:start w:val="1"/>
    </w:lvl>
  </w:abstractNum>
  <w:abstractNum w:abstractNumId="11">
    <w:nsid w:val="7724C67E"/>
    <w:multiLevelType w:val="hybridMultilevel"/>
    <w:lvl w:ilvl="0">
      <w:lvlJc w:val="left"/>
      <w:lvlText w:val="x"/>
      <w:numFmt w:val="bullet"/>
      <w:start w:val="1"/>
    </w:lvl>
  </w:abstractNum>
  <w:abstractNum w:abstractNumId="12">
    <w:nsid w:val="5C482A97"/>
    <w:multiLevelType w:val="hybridMultilevel"/>
    <w:lvl w:ilvl="0">
      <w:lvlJc w:val="left"/>
      <w:lvlText w:val="x"/>
      <w:numFmt w:val="bullet"/>
      <w:start w:val="1"/>
    </w:lvl>
  </w:abstractNum>
  <w:abstractNum w:abstractNumId="13">
    <w:nsid w:val="2463B9EA"/>
    <w:multiLevelType w:val="hybridMultilevel"/>
    <w:lvl w:ilvl="0">
      <w:lvlJc w:val="left"/>
      <w:lvlText w:val="x"/>
      <w:numFmt w:val="bullet"/>
      <w:start w:val="1"/>
    </w:lvl>
  </w:abstractNum>
  <w:abstractNum w:abstractNumId="14">
    <w:nsid w:val="5E884ADC"/>
    <w:multiLevelType w:val="hybridMultilevel"/>
    <w:lvl w:ilvl="0">
      <w:lvlJc w:val="left"/>
      <w:lvlText w:val="x"/>
      <w:numFmt w:val="bullet"/>
      <w:start w:val="1"/>
    </w:lvl>
  </w:abstractNum>
  <w:abstractNum w:abstractNumId="15">
    <w:nsid w:val="51EAD36B"/>
    <w:multiLevelType w:val="hybridMultilevel"/>
    <w:lvl w:ilvl="0">
      <w:lvlJc w:val="left"/>
      <w:lvlText w:val="x"/>
      <w:numFmt w:val="bullet"/>
      <w:start w:val="1"/>
    </w:lvl>
  </w:abstractNum>
  <w:abstractNum w:abstractNumId="16">
    <w:nsid w:val="2D517796"/>
    <w:multiLevelType w:val="hybridMultilevel"/>
    <w:lvl w:ilvl="0">
      <w:lvlJc w:val="left"/>
      <w:lvlText w:val="(%1)"/>
      <w:numFmt w:val="lowerRoman"/>
      <w:start w:val="2"/>
    </w:lvl>
  </w:abstractNum>
  <w:abstractNum w:abstractNumId="17">
    <w:nsid w:val="580BD78F"/>
    <w:multiLevelType w:val="hybridMultilevel"/>
    <w:lvl w:ilvl="0">
      <w:lvlJc w:val="left"/>
      <w:lvlText w:val="x"/>
      <w:numFmt w:val="bullet"/>
      <w:start w:val="1"/>
    </w:lvl>
  </w:abstractNum>
  <w:abstractNum w:abstractNumId="18">
    <w:nsid w:val="153EA438"/>
    <w:multiLevelType w:val="hybridMultilevel"/>
    <w:lvl w:ilvl="0">
      <w:lvlJc w:val="left"/>
      <w:lvlText w:val="x"/>
      <w:numFmt w:val="bullet"/>
      <w:start w:val="1"/>
    </w:lvl>
  </w:abstractNum>
  <w:abstractNum w:abstractNumId="19">
    <w:nsid w:val="3855585C"/>
    <w:multiLevelType w:val="hybridMultilevel"/>
    <w:lvl w:ilvl="0">
      <w:lvlJc w:val="left"/>
      <w:lvlText w:val="x"/>
      <w:numFmt w:val="bullet"/>
      <w:start w:val="1"/>
    </w:lvl>
  </w:abstractNum>
  <w:abstractNum w:abstractNumId="20">
    <w:nsid w:val="70A64E2A"/>
    <w:multiLevelType w:val="hybridMultilevel"/>
    <w:lvl w:ilvl="0">
      <w:lvlJc w:val="left"/>
      <w:lvlText w:val="x"/>
      <w:numFmt w:val="bullet"/>
      <w:start w:val="1"/>
    </w:lvl>
  </w:abstractNum>
  <w:abstractNum w:abstractNumId="21">
    <w:nsid w:val="6A2342EC"/>
    <w:multiLevelType w:val="hybridMultilevel"/>
    <w:lvl w:ilvl="0">
      <w:lvlJc w:val="left"/>
      <w:lvlText w:val="x"/>
      <w:numFmt w:val="bullet"/>
      <w:start w:val="1"/>
    </w:lvl>
  </w:abstractNum>
  <w:abstractNum w:abstractNumId="22">
    <w:nsid w:val="2A487CB0"/>
    <w:multiLevelType w:val="hybridMultilevel"/>
    <w:lvl w:ilvl="0">
      <w:lvlJc w:val="left"/>
      <w:lvlText w:val="x"/>
      <w:numFmt w:val="bullet"/>
      <w:start w:val="1"/>
    </w:lvl>
  </w:abstractNum>
  <w:abstractNum w:abstractNumId="23">
    <w:nsid w:val="1D4ED43B"/>
    <w:multiLevelType w:val="hybridMultilevel"/>
    <w:lvl w:ilvl="0">
      <w:lvlJc w:val="left"/>
      <w:lvlText w:val="x"/>
      <w:numFmt w:val="bullet"/>
      <w:start w:val="1"/>
    </w:lvl>
  </w:abstractNum>
  <w:abstractNum w:abstractNumId="24">
    <w:nsid w:val="725A06FB"/>
    <w:multiLevelType w:val="hybridMultilevel"/>
    <w:lvl w:ilvl="0">
      <w:lvlJc w:val="left"/>
      <w:lvlText w:val="x"/>
      <w:numFmt w:val="bullet"/>
      <w:start w:val="1"/>
    </w:lvl>
  </w:abstractNum>
  <w:abstractNum w:abstractNumId="25">
    <w:nsid w:val="2CD89A32"/>
    <w:multiLevelType w:val="hybridMultilevel"/>
    <w:lvl w:ilvl="0">
      <w:lvlJc w:val="left"/>
      <w:lvlText w:val="x"/>
      <w:numFmt w:val="bullet"/>
      <w:start w:val="1"/>
    </w:lvl>
  </w:abstractNum>
  <w:abstractNum w:abstractNumId="26">
    <w:nsid w:val="57E4CCAF"/>
    <w:multiLevelType w:val="hybridMultilevel"/>
    <w:lvl w:ilvl="0">
      <w:lvlJc w:val="left"/>
      <w:lvlText w:val="x"/>
      <w:numFmt w:val="bullet"/>
      <w:start w:val="1"/>
    </w:lvl>
  </w:abstractNum>
  <w:abstractNum w:abstractNumId="27">
    <w:nsid w:val="7A6D8D3C"/>
    <w:multiLevelType w:val="hybridMultilevel"/>
    <w:lvl w:ilvl="0">
      <w:lvlJc w:val="left"/>
      <w:lvlText w:val="x"/>
      <w:numFmt w:val="bullet"/>
      <w:start w:val="1"/>
    </w:lvl>
  </w:abstractNum>
  <w:abstractNum w:abstractNumId="28">
    <w:nsid w:val="4B588F54"/>
    <w:multiLevelType w:val="hybridMultilevel"/>
    <w:lvl w:ilvl="0">
      <w:lvlJc w:val="left"/>
      <w:lvlText w:val="x"/>
      <w:numFmt w:val="bullet"/>
      <w:start w:val="1"/>
    </w:lvl>
  </w:abstractNum>
  <w:abstractNum w:abstractNumId="29">
    <w:nsid w:val="542289EC"/>
    <w:multiLevelType w:val="hybridMultilevel"/>
    <w:lvl w:ilvl="0">
      <w:lvlJc w:val="left"/>
      <w:lvlText w:val="x"/>
      <w:numFmt w:val="bullet"/>
      <w:start w:val="1"/>
    </w:lvl>
  </w:abstractNum>
  <w:abstractNum w:abstractNumId="30">
    <w:nsid w:val="6DE91B18"/>
    <w:multiLevelType w:val="hybridMultilevel"/>
    <w:lvl w:ilvl="0">
      <w:lvlJc w:val="left"/>
      <w:lvlText w:val="x"/>
      <w:numFmt w:val="bullet"/>
      <w:start w:val="1"/>
    </w:lvl>
  </w:abstractNum>
  <w:abstractNum w:abstractNumId="31">
    <w:nsid w:val="38437FDB"/>
    <w:multiLevelType w:val="hybridMultilevel"/>
    <w:lvl w:ilvl="0">
      <w:lvlJc w:val="left"/>
      <w:lvlText w:val="x"/>
      <w:numFmt w:val="bullet"/>
      <w:start w:val="1"/>
    </w:lvl>
  </w:abstractNum>
  <w:abstractNum w:abstractNumId="32">
    <w:nsid w:val="7644A45C"/>
    <w:multiLevelType w:val="hybridMultilevel"/>
    <w:lvl w:ilvl="0">
      <w:lvlJc w:val="left"/>
      <w:lvlText w:val="x"/>
      <w:numFmt w:val="bullet"/>
      <w:start w:val="1"/>
    </w:lvl>
  </w:abstractNum>
  <w:abstractNum w:abstractNumId="33">
    <w:nsid w:val="32FFF902"/>
    <w:multiLevelType w:val="hybridMultilevel"/>
    <w:lvl w:ilvl="0">
      <w:lvlJc w:val="left"/>
      <w:lvlText w:val="x"/>
      <w:numFmt w:val="bullet"/>
      <w:start w:val="1"/>
    </w:lvl>
  </w:abstractNum>
  <w:abstractNum w:abstractNumId="34">
    <w:nsid w:val="684A481A"/>
    <w:multiLevelType w:val="hybridMultilevel"/>
    <w:lvl w:ilvl="0">
      <w:lvlJc w:val="left"/>
      <w:lvlText w:val="x"/>
      <w:numFmt w:val="bullet"/>
      <w:start w:val="1"/>
    </w:lvl>
  </w:abstractNum>
  <w:abstractNum w:abstractNumId="35">
    <w:nsid w:val="579478FE"/>
    <w:multiLevelType w:val="hybridMultilevel"/>
    <w:lvl w:ilvl="0">
      <w:lvlJc w:val="left"/>
      <w:lvlText w:val="x"/>
      <w:numFmt w:val="bullet"/>
      <w:start w:val="1"/>
    </w:lvl>
  </w:abstractNum>
  <w:abstractNum w:abstractNumId="36">
    <w:nsid w:val="749ABB43"/>
    <w:multiLevelType w:val="hybridMultilevel"/>
    <w:lvl w:ilvl="0">
      <w:lvlJc w:val="left"/>
      <w:lvlText w:val="(%1)"/>
      <w:numFmt w:val="lowerRoman"/>
      <w:start w:val="2"/>
    </w:lvl>
  </w:abstractNum>
  <w:abstractNum w:abstractNumId="37">
    <w:nsid w:val="3DC240FB"/>
    <w:multiLevelType w:val="hybridMultilevel"/>
    <w:lvl w:ilvl="0">
      <w:lvlJc w:val="left"/>
      <w:lvlText w:val="%1)"/>
      <w:numFmt w:val="decimal"/>
      <w:start w:val="8"/>
    </w:lvl>
  </w:abstractNum>
  <w:abstractNum w:abstractNumId="38">
    <w:nsid w:val="1BA026FA"/>
    <w:multiLevelType w:val="hybridMultilevel"/>
    <w:lvl w:ilvl="0">
      <w:lvlJc w:val="left"/>
      <w:lvlText w:val="x"/>
      <w:numFmt w:val="bullet"/>
      <w:start w:val="1"/>
    </w:lvl>
  </w:abstractNum>
  <w:abstractNum w:abstractNumId="39">
    <w:nsid w:val="79A1DEAA"/>
    <w:multiLevelType w:val="hybridMultilevel"/>
    <w:lvl w:ilvl="0">
      <w:lvlJc w:val="left"/>
      <w:lvlText w:val="x"/>
      <w:numFmt w:val="bullet"/>
      <w:start w:val="1"/>
    </w:lvl>
  </w:abstractNum>
  <w:abstractNum w:abstractNumId="40">
    <w:nsid w:val="75C6C33A"/>
    <w:multiLevelType w:val="hybridMultilevel"/>
    <w:lvl w:ilvl="0">
      <w:lvlJc w:val="left"/>
      <w:lvlText w:val="x"/>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x"/>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x"/>
      <w:numFmt w:val="bullet"/>
      <w:start w:val="1"/>
    </w:lvl>
  </w:abstractNum>
  <w:abstractNum w:abstractNumId="45">
    <w:nsid w:val="4F4EF005"/>
    <w:multiLevelType w:val="hybridMultilevel"/>
    <w:lvl w:ilvl="0">
      <w:lvlJc w:val="left"/>
      <w:lvlText w:val="x"/>
      <w:numFmt w:val="bullet"/>
      <w:start w:val="1"/>
    </w:lvl>
  </w:abstractNum>
  <w:abstractNum w:abstractNumId="46">
    <w:nsid w:val="23F9C13C"/>
    <w:multiLevelType w:val="hybridMultilevel"/>
    <w:lvl w:ilvl="0">
      <w:lvlJc w:val="left"/>
      <w:lvlText w:val="x"/>
      <w:numFmt w:val="bullet"/>
      <w:start w:val="1"/>
    </w:lvl>
  </w:abstractNum>
  <w:abstractNum w:abstractNumId="47">
    <w:nsid w:val="649BB77C"/>
    <w:multiLevelType w:val="hybridMultilevel"/>
    <w:lvl w:ilvl="0">
      <w:lvlJc w:val="left"/>
      <w:lvlText w:val="x"/>
      <w:numFmt w:val="bullet"/>
      <w:start w:val="1"/>
    </w:lvl>
  </w:abstractNum>
  <w:abstractNum w:abstractNumId="48">
    <w:nsid w:val="275AC794"/>
    <w:multiLevelType w:val="hybridMultilevel"/>
    <w:lvl w:ilvl="0">
      <w:lvlJc w:val="left"/>
      <w:lvlText w:val="x"/>
      <w:numFmt w:val="bullet"/>
      <w:start w:val="1"/>
    </w:lvl>
  </w:abstractNum>
  <w:abstractNum w:abstractNumId="49">
    <w:nsid w:val="39386575"/>
    <w:multiLevelType w:val="hybridMultilevel"/>
    <w:lvl w:ilvl="0">
      <w:lvlJc w:val="left"/>
      <w:lvlText w:val="(%1)"/>
      <w:numFmt w:val="lowerLetter"/>
      <w:start w:val="1"/>
    </w:lvl>
    <w:lvl w:ilvl="1">
      <w:lvlJc w:val="left"/>
      <w:lvlText w:val="%2."/>
      <w:numFmt w:val="decimal"/>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x"/>
      <w:numFmt w:val="bullet"/>
      <w:start w:val="1"/>
    </w:lvl>
  </w:abstractNum>
  <w:abstractNum w:abstractNumId="54">
    <w:nsid w:val="354FE9F9"/>
    <w:multiLevelType w:val="hybridMultilevel"/>
    <w:lvl w:ilvl="0">
      <w:lvlJc w:val="left"/>
      <w:lvlText w:val="x"/>
      <w:numFmt w:val="bullet"/>
      <w:start w:val="1"/>
    </w:lvl>
  </w:abstractNum>
  <w:abstractNum w:abstractNumId="55">
    <w:nsid w:val="15B5AF5C"/>
    <w:multiLevelType w:val="hybridMultilevel"/>
    <w:lvl w:ilvl="0">
      <w:lvlJc w:val="left"/>
      <w:lvlText w:val="%1."/>
      <w:numFmt w:val="decimal"/>
      <w:start w:val="4"/>
    </w:lvl>
  </w:abstractNum>
  <w:abstractNum w:abstractNumId="56">
    <w:nsid w:val="741226BB"/>
    <w:multiLevelType w:val="hybridMultilevel"/>
    <w:lvl w:ilvl="0">
      <w:lvlJc w:val="left"/>
      <w:lvlText w:val="x"/>
      <w:numFmt w:val="bullet"/>
      <w:start w:val="1"/>
    </w:lvl>
  </w:abstractNum>
  <w:abstractNum w:abstractNumId="57">
    <w:nsid w:val="D34B6A8"/>
    <w:multiLevelType w:val="hybridMultilevel"/>
    <w:lvl w:ilvl="0">
      <w:lvlJc w:val="left"/>
      <w:lvlText w:val="x"/>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9"/>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decimal"/>
      <w:start w:val="13"/>
    </w:lvl>
    <w:lvl w:ilvl="1">
      <w:lvlJc w:val="left"/>
      <w:lvlText w:val="x"/>
      <w:numFmt w:val="bullet"/>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2026-10-23T17:41:41Z</dcterms:created>
  <dcterms:modified xsi:type="dcterms:W3CDTF">2026-10-23T17:41:41Z</dcterms:modified>
</cp:coreProperties>
</file>