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668655</wp:posOffset>
            </wp:positionH>
            <wp:positionV relativeFrom="page">
              <wp:posOffset>157480</wp:posOffset>
            </wp:positionV>
            <wp:extent cx="62242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4270" cy="7620"/>
                    </a:xfrm>
                    <a:prstGeom prst="rect">
                      <a:avLst/>
                    </a:prstGeom>
                    <a:noFill/>
                  </pic:spPr>
                </pic:pic>
              </a:graphicData>
            </a:graphic>
          </wp:anchor>
        </w:drawing>
        <w:drawing>
          <wp:anchor simplePos="0" relativeHeight="251657728" behindDoc="1" locked="0" layoutInCell="0" allowOverlap="1">
            <wp:simplePos x="0" y="0"/>
            <wp:positionH relativeFrom="page">
              <wp:posOffset>668655</wp:posOffset>
            </wp:positionH>
            <wp:positionV relativeFrom="page">
              <wp:posOffset>195580</wp:posOffset>
            </wp:positionV>
            <wp:extent cx="62242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4270" cy="7620"/>
                    </a:xfrm>
                    <a:prstGeom prst="rect">
                      <a:avLst/>
                    </a:prstGeom>
                    <a:noFill/>
                  </pic:spPr>
                </pic:pic>
              </a:graphicData>
            </a:graphic>
          </wp:anchor>
        </w:drawing>
        <w:t>UNITED STATES</w:t>
      </w:r>
    </w:p>
    <w:p>
      <w:pPr>
        <w:spacing w:after="0" w:line="15"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59"/>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206375</wp:posOffset>
            </wp:positionV>
            <wp:extent cx="13119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215900</wp:posOffset>
            </wp:positionV>
            <wp:extent cx="13119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CURRENT REPORT</w:t>
      </w: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Pursuant to Section 13 or 15(d)</w:t>
      </w:r>
    </w:p>
    <w:p>
      <w:pPr>
        <w:jc w:val="center"/>
        <w:ind w:right="-259"/>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68" w:lineRule="exact"/>
        <w:rPr>
          <w:sz w:val="24"/>
          <w:szCs w:val="24"/>
          <w:color w:val="auto"/>
        </w:rPr>
      </w:pPr>
    </w:p>
    <w:p>
      <w:pPr>
        <w:ind w:left="2280"/>
        <w:spacing w:after="0"/>
        <w:rPr>
          <w:sz w:val="20"/>
          <w:szCs w:val="20"/>
          <w:color w:val="auto"/>
        </w:rPr>
      </w:pPr>
      <w:r>
        <w:rPr>
          <w:rFonts w:ascii="Arial" w:cs="Arial" w:eastAsia="Arial" w:hAnsi="Arial"/>
          <w:sz w:val="19"/>
          <w:szCs w:val="19"/>
          <w:b w:val="1"/>
          <w:bCs w:val="1"/>
          <w:color w:val="auto"/>
        </w:rPr>
        <w:t>Date of report (Date of earliest event reported): October 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212725</wp:posOffset>
            </wp:positionV>
            <wp:extent cx="13119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59"/>
        <w:spacing w:after="0"/>
        <w:rPr>
          <w:sz w:val="20"/>
          <w:szCs w:val="20"/>
          <w:color w:val="auto"/>
        </w:rPr>
      </w:pPr>
      <w:r>
        <w:rPr>
          <w:rFonts w:ascii="Arial" w:cs="Arial" w:eastAsia="Arial" w:hAnsi="Arial"/>
          <w:sz w:val="38"/>
          <w:szCs w:val="38"/>
          <w:b w:val="1"/>
          <w:bCs w:val="1"/>
          <w:color w:val="auto"/>
        </w:rPr>
        <w:t>WAVE LIFE SCIENCES LTD.</w:t>
      </w:r>
    </w:p>
    <w:p>
      <w:pPr>
        <w:spacing w:after="0" w:line="47"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210185</wp:posOffset>
            </wp:positionV>
            <wp:extent cx="131191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tbl>
      <w:tblPr>
        <w:tblLayout w:type="fixed"/>
        <w:tblInd w:w="920" w:type="dxa"/>
        <w:tblCellMar>
          <w:top w:w="0" w:type="dxa"/>
          <w:left w:w="0" w:type="dxa"/>
          <w:bottom w:w="0" w:type="dxa"/>
          <w:right w:w="0" w:type="dxa"/>
        </w:tblCellMar>
      </w:tblPr>
      <w:tr>
        <w:trPr>
          <w:trHeight w:val="189"/>
        </w:trPr>
        <w:tc>
          <w:tcPr>
            <w:tcW w:w="3560" w:type="dxa"/>
            <w:vAlign w:val="bottom"/>
          </w:tcPr>
          <w:p>
            <w:pPr>
              <w:jc w:val="center"/>
              <w:ind w:right="2008"/>
              <w:spacing w:after="0"/>
              <w:rPr>
                <w:sz w:val="20"/>
                <w:szCs w:val="20"/>
                <w:color w:val="auto"/>
              </w:rPr>
            </w:pPr>
            <w:r>
              <w:rPr>
                <w:rFonts w:ascii="Arial" w:cs="Arial" w:eastAsia="Arial" w:hAnsi="Arial"/>
                <w:sz w:val="16"/>
                <w:szCs w:val="16"/>
                <w:b w:val="1"/>
                <w:bCs w:val="1"/>
                <w:color w:val="auto"/>
                <w:w w:val="86"/>
              </w:rPr>
              <w:t>Singapore</w:t>
            </w:r>
          </w:p>
        </w:tc>
        <w:tc>
          <w:tcPr>
            <w:tcW w:w="2060" w:type="dxa"/>
            <w:vAlign w:val="bottom"/>
          </w:tcPr>
          <w:p>
            <w:pPr>
              <w:ind w:left="160"/>
              <w:spacing w:after="0"/>
              <w:rPr>
                <w:sz w:val="20"/>
                <w:szCs w:val="20"/>
                <w:color w:val="auto"/>
              </w:rPr>
            </w:pPr>
            <w:r>
              <w:rPr>
                <w:rFonts w:ascii="Arial" w:cs="Arial" w:eastAsia="Arial" w:hAnsi="Arial"/>
                <w:sz w:val="16"/>
                <w:szCs w:val="16"/>
                <w:b w:val="1"/>
                <w:bCs w:val="1"/>
                <w:color w:val="auto"/>
              </w:rPr>
              <w:t>001-37627</w:t>
            </w:r>
          </w:p>
        </w:tc>
        <w:tc>
          <w:tcPr>
            <w:tcW w:w="2200" w:type="dxa"/>
            <w:vAlign w:val="bottom"/>
          </w:tcPr>
          <w:p>
            <w:pPr>
              <w:jc w:val="center"/>
              <w:ind w:left="1110"/>
              <w:spacing w:after="0"/>
              <w:rPr>
                <w:sz w:val="20"/>
                <w:szCs w:val="20"/>
                <w:color w:val="auto"/>
              </w:rPr>
            </w:pPr>
            <w:r>
              <w:rPr>
                <w:rFonts w:ascii="Arial" w:cs="Arial" w:eastAsia="Arial" w:hAnsi="Arial"/>
                <w:sz w:val="16"/>
                <w:szCs w:val="16"/>
                <w:b w:val="1"/>
                <w:bCs w:val="1"/>
                <w:color w:val="auto"/>
                <w:w w:val="91"/>
              </w:rPr>
              <w:t>Not Applicable</w:t>
            </w:r>
          </w:p>
        </w:tc>
      </w:tr>
      <w:tr>
        <w:trPr>
          <w:trHeight w:val="132"/>
        </w:trPr>
        <w:tc>
          <w:tcPr>
            <w:tcW w:w="3560" w:type="dxa"/>
            <w:vAlign w:val="bottom"/>
          </w:tcPr>
          <w:p>
            <w:pPr>
              <w:jc w:val="center"/>
              <w:ind w:right="2028"/>
              <w:spacing w:after="0" w:line="133" w:lineRule="exact"/>
              <w:rPr>
                <w:sz w:val="20"/>
                <w:szCs w:val="20"/>
                <w:color w:val="auto"/>
              </w:rPr>
            </w:pPr>
            <w:r>
              <w:rPr>
                <w:rFonts w:ascii="Arial" w:cs="Arial" w:eastAsia="Arial" w:hAnsi="Arial"/>
                <w:sz w:val="13"/>
                <w:szCs w:val="13"/>
                <w:b w:val="1"/>
                <w:bCs w:val="1"/>
                <w:color w:val="auto"/>
                <w:w w:val="89"/>
              </w:rPr>
              <w:t>(State or other jurisdiction</w:t>
            </w:r>
          </w:p>
        </w:tc>
        <w:tc>
          <w:tcPr>
            <w:tcW w:w="2060" w:type="dxa"/>
            <w:vAlign w:val="bottom"/>
          </w:tcPr>
          <w:p>
            <w:pPr>
              <w:ind w:left="160"/>
              <w:spacing w:after="0" w:line="133" w:lineRule="exact"/>
              <w:rPr>
                <w:sz w:val="20"/>
                <w:szCs w:val="20"/>
                <w:color w:val="auto"/>
              </w:rPr>
            </w:pPr>
            <w:r>
              <w:rPr>
                <w:rFonts w:ascii="Arial" w:cs="Arial" w:eastAsia="Arial" w:hAnsi="Arial"/>
                <w:sz w:val="13"/>
                <w:szCs w:val="13"/>
                <w:b w:val="1"/>
                <w:bCs w:val="1"/>
                <w:color w:val="auto"/>
              </w:rPr>
              <w:t>(Commission</w:t>
            </w:r>
          </w:p>
        </w:tc>
        <w:tc>
          <w:tcPr>
            <w:tcW w:w="2200" w:type="dxa"/>
            <w:vAlign w:val="bottom"/>
          </w:tcPr>
          <w:p>
            <w:pPr>
              <w:jc w:val="center"/>
              <w:ind w:left="1110"/>
              <w:spacing w:after="0" w:line="133" w:lineRule="exact"/>
              <w:rPr>
                <w:sz w:val="20"/>
                <w:szCs w:val="20"/>
                <w:color w:val="auto"/>
              </w:rPr>
            </w:pPr>
            <w:r>
              <w:rPr>
                <w:rFonts w:ascii="Arial" w:cs="Arial" w:eastAsia="Arial" w:hAnsi="Arial"/>
                <w:sz w:val="13"/>
                <w:szCs w:val="13"/>
                <w:b w:val="1"/>
                <w:bCs w:val="1"/>
                <w:color w:val="auto"/>
                <w:w w:val="92"/>
              </w:rPr>
              <w:t>(IRS Employer</w:t>
            </w:r>
          </w:p>
        </w:tc>
      </w:tr>
      <w:tr>
        <w:trPr>
          <w:trHeight w:val="166"/>
        </w:trPr>
        <w:tc>
          <w:tcPr>
            <w:tcW w:w="3560" w:type="dxa"/>
            <w:vAlign w:val="bottom"/>
          </w:tcPr>
          <w:p>
            <w:pPr>
              <w:jc w:val="center"/>
              <w:ind w:right="2028"/>
              <w:spacing w:after="0"/>
              <w:rPr>
                <w:sz w:val="20"/>
                <w:szCs w:val="20"/>
                <w:color w:val="auto"/>
              </w:rPr>
            </w:pPr>
            <w:r>
              <w:rPr>
                <w:rFonts w:ascii="Arial" w:cs="Arial" w:eastAsia="Arial" w:hAnsi="Arial"/>
                <w:sz w:val="13"/>
                <w:szCs w:val="13"/>
                <w:b w:val="1"/>
                <w:bCs w:val="1"/>
                <w:color w:val="auto"/>
                <w:w w:val="90"/>
              </w:rPr>
              <w:t>of incorporation)</w:t>
            </w:r>
          </w:p>
        </w:tc>
        <w:tc>
          <w:tcPr>
            <w:tcW w:w="2060" w:type="dxa"/>
            <w:vAlign w:val="bottom"/>
          </w:tcPr>
          <w:p>
            <w:pPr>
              <w:ind w:left="140"/>
              <w:spacing w:after="0"/>
              <w:rPr>
                <w:sz w:val="20"/>
                <w:szCs w:val="20"/>
                <w:color w:val="auto"/>
              </w:rPr>
            </w:pPr>
            <w:r>
              <w:rPr>
                <w:rFonts w:ascii="Arial" w:cs="Arial" w:eastAsia="Arial" w:hAnsi="Arial"/>
                <w:sz w:val="13"/>
                <w:szCs w:val="13"/>
                <w:b w:val="1"/>
                <w:bCs w:val="1"/>
                <w:color w:val="auto"/>
              </w:rPr>
              <w:t>File Number)</w:t>
            </w:r>
          </w:p>
        </w:tc>
        <w:tc>
          <w:tcPr>
            <w:tcW w:w="2200" w:type="dxa"/>
            <w:vAlign w:val="bottom"/>
          </w:tcPr>
          <w:p>
            <w:pPr>
              <w:jc w:val="center"/>
              <w:ind w:left="1090"/>
              <w:spacing w:after="0"/>
              <w:rPr>
                <w:sz w:val="20"/>
                <w:szCs w:val="20"/>
                <w:color w:val="auto"/>
              </w:rPr>
            </w:pPr>
            <w:r>
              <w:rPr>
                <w:rFonts w:ascii="Arial" w:cs="Arial" w:eastAsia="Arial" w:hAnsi="Arial"/>
                <w:sz w:val="13"/>
                <w:szCs w:val="13"/>
                <w:b w:val="1"/>
                <w:bCs w:val="1"/>
                <w:color w:val="auto"/>
                <w:w w:val="91"/>
              </w:rPr>
              <w:t>Identification No.)</w:t>
            </w:r>
          </w:p>
        </w:tc>
      </w:tr>
      <w:tr>
        <w:trPr>
          <w:trHeight w:val="366"/>
        </w:trPr>
        <w:tc>
          <w:tcPr>
            <w:tcW w:w="5620" w:type="dxa"/>
            <w:vAlign w:val="bottom"/>
            <w:gridSpan w:val="2"/>
          </w:tcPr>
          <w:p>
            <w:pPr>
              <w:jc w:val="center"/>
              <w:ind w:right="851"/>
              <w:spacing w:after="0"/>
              <w:rPr>
                <w:sz w:val="20"/>
                <w:szCs w:val="20"/>
                <w:color w:val="auto"/>
              </w:rPr>
            </w:pPr>
            <w:r>
              <w:rPr>
                <w:rFonts w:ascii="Arial" w:cs="Arial" w:eastAsia="Arial" w:hAnsi="Arial"/>
                <w:sz w:val="16"/>
                <w:szCs w:val="16"/>
                <w:b w:val="1"/>
                <w:bCs w:val="1"/>
                <w:color w:val="auto"/>
                <w:w w:val="92"/>
              </w:rPr>
              <w:t>7 Straits View #12-00 Marina One East Tower</w:t>
            </w:r>
          </w:p>
        </w:tc>
        <w:tc>
          <w:tcPr>
            <w:tcW w:w="2200" w:type="dxa"/>
            <w:vAlign w:val="bottom"/>
          </w:tcPr>
          <w:p>
            <w:pPr>
              <w:spacing w:after="0"/>
              <w:rPr>
                <w:sz w:val="24"/>
                <w:szCs w:val="24"/>
                <w:color w:val="auto"/>
              </w:rPr>
            </w:pPr>
          </w:p>
        </w:tc>
      </w:tr>
      <w:tr>
        <w:trPr>
          <w:trHeight w:val="201"/>
        </w:trPr>
        <w:tc>
          <w:tcPr>
            <w:tcW w:w="3560" w:type="dxa"/>
            <w:vAlign w:val="bottom"/>
          </w:tcPr>
          <w:p>
            <w:pPr>
              <w:jc w:val="center"/>
              <w:ind w:left="1088"/>
              <w:spacing w:after="0"/>
              <w:rPr>
                <w:sz w:val="20"/>
                <w:szCs w:val="20"/>
                <w:color w:val="auto"/>
              </w:rPr>
            </w:pPr>
            <w:r>
              <w:rPr>
                <w:rFonts w:ascii="Arial" w:cs="Arial" w:eastAsia="Arial" w:hAnsi="Arial"/>
                <w:sz w:val="16"/>
                <w:szCs w:val="16"/>
                <w:b w:val="1"/>
                <w:bCs w:val="1"/>
                <w:color w:val="auto"/>
                <w:w w:val="88"/>
              </w:rPr>
              <w:t>Singapore 018936</w:t>
            </w:r>
          </w:p>
        </w:tc>
        <w:tc>
          <w:tcPr>
            <w:tcW w:w="2060" w:type="dxa"/>
            <w:vAlign w:val="bottom"/>
          </w:tcPr>
          <w:p>
            <w:pPr>
              <w:spacing w:after="0"/>
              <w:rPr>
                <w:sz w:val="17"/>
                <w:szCs w:val="17"/>
                <w:color w:val="auto"/>
              </w:rPr>
            </w:pPr>
          </w:p>
        </w:tc>
        <w:tc>
          <w:tcPr>
            <w:tcW w:w="2200" w:type="dxa"/>
            <w:vAlign w:val="bottom"/>
          </w:tcPr>
          <w:p>
            <w:pPr>
              <w:jc w:val="center"/>
              <w:ind w:left="1090"/>
              <w:spacing w:after="0"/>
              <w:rPr>
                <w:sz w:val="20"/>
                <w:szCs w:val="20"/>
                <w:color w:val="auto"/>
              </w:rPr>
            </w:pPr>
            <w:r>
              <w:rPr>
                <w:rFonts w:ascii="Arial" w:cs="Arial" w:eastAsia="Arial" w:hAnsi="Arial"/>
                <w:sz w:val="16"/>
                <w:szCs w:val="16"/>
                <w:b w:val="1"/>
                <w:bCs w:val="1"/>
                <w:color w:val="auto"/>
                <w:w w:val="89"/>
              </w:rPr>
              <w:t>018936</w:t>
            </w:r>
          </w:p>
        </w:tc>
      </w:tr>
      <w:tr>
        <w:trPr>
          <w:trHeight w:val="166"/>
        </w:trPr>
        <w:tc>
          <w:tcPr>
            <w:tcW w:w="3560" w:type="dxa"/>
            <w:vAlign w:val="bottom"/>
          </w:tcPr>
          <w:p>
            <w:pPr>
              <w:jc w:val="center"/>
              <w:ind w:left="1088"/>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2060" w:type="dxa"/>
            <w:vAlign w:val="bottom"/>
          </w:tcPr>
          <w:p>
            <w:pPr>
              <w:spacing w:after="0"/>
              <w:rPr>
                <w:sz w:val="14"/>
                <w:szCs w:val="14"/>
                <w:color w:val="auto"/>
              </w:rPr>
            </w:pPr>
          </w:p>
        </w:tc>
        <w:tc>
          <w:tcPr>
            <w:tcW w:w="2200" w:type="dxa"/>
            <w:vAlign w:val="bottom"/>
          </w:tcPr>
          <w:p>
            <w:pPr>
              <w:jc w:val="center"/>
              <w:ind w:left="1110"/>
              <w:spacing w:after="0"/>
              <w:rPr>
                <w:sz w:val="20"/>
                <w:szCs w:val="20"/>
                <w:color w:val="auto"/>
              </w:rPr>
            </w:pPr>
            <w:r>
              <w:rPr>
                <w:rFonts w:ascii="Arial" w:cs="Arial" w:eastAsia="Arial" w:hAnsi="Arial"/>
                <w:sz w:val="13"/>
                <w:szCs w:val="13"/>
                <w:b w:val="1"/>
                <w:bCs w:val="1"/>
                <w:color w:val="auto"/>
                <w:w w:val="90"/>
              </w:rPr>
              <w:t>(Zip Code)</w:t>
            </w:r>
          </w:p>
        </w:tc>
      </w:tr>
    </w:tbl>
    <w:p>
      <w:pPr>
        <w:spacing w:after="0" w:line="162"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Registrant’s telephone number, including area code: +65 6236 3388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221615</wp:posOffset>
            </wp:positionV>
            <wp:extent cx="13119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762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right="160"/>
        <w:spacing w:after="0" w:line="277"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68" w:lineRule="exact"/>
        <w:rPr>
          <w:sz w:val="24"/>
          <w:szCs w:val="24"/>
          <w:color w:val="auto"/>
        </w:rPr>
      </w:pPr>
    </w:p>
    <w:p>
      <w:pPr>
        <w:ind w:left="760" w:hanging="383"/>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6" w:lineRule="exact"/>
        <w:rPr>
          <w:rFonts w:ascii="MS PGothic" w:cs="MS PGothic" w:eastAsia="MS PGothic" w:hAnsi="MS PGothic"/>
          <w:sz w:val="16"/>
          <w:szCs w:val="16"/>
          <w:color w:val="auto"/>
        </w:rPr>
      </w:pPr>
    </w:p>
    <w:p>
      <w:pPr>
        <w:ind w:left="760" w:hanging="383"/>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6" w:lineRule="exact"/>
        <w:rPr>
          <w:rFonts w:ascii="MS PGothic" w:cs="MS PGothic" w:eastAsia="MS PGothic" w:hAnsi="MS PGothic"/>
          <w:sz w:val="16"/>
          <w:szCs w:val="16"/>
          <w:color w:val="auto"/>
        </w:rPr>
      </w:pPr>
    </w:p>
    <w:p>
      <w:pPr>
        <w:ind w:left="760" w:hanging="383"/>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6" w:lineRule="exact"/>
        <w:rPr>
          <w:rFonts w:ascii="MS PGothic" w:cs="MS PGothic" w:eastAsia="MS PGothic" w:hAnsi="MS PGothic"/>
          <w:sz w:val="16"/>
          <w:szCs w:val="16"/>
          <w:color w:val="auto"/>
        </w:rPr>
      </w:pPr>
    </w:p>
    <w:p>
      <w:pPr>
        <w:ind w:left="760" w:hanging="383"/>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0"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118745</wp:posOffset>
            </wp:positionV>
            <wp:extent cx="62242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427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156845</wp:posOffset>
            </wp:positionV>
            <wp:extent cx="62242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4270" cy="7620"/>
                    </a:xfrm>
                    <a:prstGeom prst="rect">
                      <a:avLst/>
                    </a:prstGeom>
                    <a:noFill/>
                  </pic:spPr>
                </pic:pic>
              </a:graphicData>
            </a:graphic>
          </wp:anchor>
        </w:drawing>
      </w:r>
    </w:p>
    <w:p>
      <w:pPr>
        <w:sectPr>
          <w:pgSz w:w="11900" w:h="16838" w:orient="portrait"/>
          <w:cols w:equalWidth="0" w:num="1">
            <w:col w:w="9540"/>
          </w:cols>
          <w:pgMar w:left="1060" w:top="343" w:right="129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35560"/>
                    </a:xfrm>
                    <a:prstGeom prst="rect">
                      <a:avLst/>
                    </a:prstGeom>
                    <a:noFill/>
                  </pic:spPr>
                </pic:pic>
              </a:graphicData>
            </a:graphic>
          </wp:anchor>
        </w:drawing>
        <w:t>Item 7.01</w:t>
      </w:r>
      <w:r>
        <w:rPr>
          <w:sz w:val="20"/>
          <w:szCs w:val="20"/>
          <w:color w:val="auto"/>
        </w:rPr>
        <w:tab/>
      </w:r>
      <w:r>
        <w:rPr>
          <w:rFonts w:ascii="Arial" w:cs="Arial" w:eastAsia="Arial" w:hAnsi="Arial"/>
          <w:sz w:val="14"/>
          <w:szCs w:val="14"/>
          <w:b w:val="1"/>
          <w:bCs w:val="1"/>
          <w:color w:val="auto"/>
        </w:rPr>
        <w:t>Regulation FD Disclosure.</w:t>
      </w:r>
    </w:p>
    <w:p>
      <w:pPr>
        <w:spacing w:after="0" w:line="108"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On October 3, 2018, Wave Life Sciences Ltd. (the “Company”) held a presentation entitled “Stereochemical Control of Antisense Oligonucleotides Enhances Target Efficacy” at the 14</w:t>
      </w:r>
      <w:r>
        <w:rPr>
          <w:rFonts w:ascii="Arial" w:cs="Arial" w:eastAsia="Arial" w:hAnsi="Arial"/>
          <w:sz w:val="12"/>
          <w:szCs w:val="12"/>
          <w:color w:val="auto"/>
        </w:rPr>
        <w:t>th</w:t>
      </w:r>
      <w:r>
        <w:rPr>
          <w:rFonts w:ascii="Arial" w:cs="Arial" w:eastAsia="Arial" w:hAnsi="Arial"/>
          <w:sz w:val="15"/>
          <w:szCs w:val="15"/>
          <w:color w:val="auto"/>
        </w:rPr>
        <w:t xml:space="preserve"> Annual Meeting of the Oligonucleotide Therapeutics Society (“OTS”) in Seattle, Washington. The presentation contains data highlighting advances in the Company’s novel chemistry platform and its ability to precisely design, optimize and manufacture stereopure oligonucleotides. A copy of the presentation is furnished as Exhibit 99.1 to this Current Report on Form 8-K.</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auto"/>
        </w:rPr>
        <w:t>The information in this report furnished pursuant to Item 7.01 shall not be deemed “filed” for the purposes of Section 18 of the Securities Exchange Act of 1934, as amended (the “Exchange Act”), or otherwise subject to the liabilities of that section. It may only be incorporated by reference in another filing under the Exchange Act or the Securities Act of 1933, as amended, if such subsequent filing specifically references the information furnished pursuant to Item 7.01 of this report.</w:t>
      </w:r>
    </w:p>
    <w:p>
      <w:pPr>
        <w:spacing w:after="0" w:line="295"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relating to Item 7.01 shall be deemed to be furnished, and not filed:</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w:t>
      </w:r>
    </w:p>
    <w:p>
      <w:pPr>
        <w:ind w:left="100"/>
        <w:spacing w:after="0"/>
        <w:tabs>
          <w:tab w:leader="none" w:pos="840" w:val="left"/>
        </w:tabs>
        <w:rPr>
          <w:sz w:val="20"/>
          <w:szCs w:val="20"/>
          <w:color w:val="auto"/>
        </w:rPr>
      </w:pPr>
      <w:r>
        <w:rPr>
          <w:rFonts w:ascii="Arial" w:cs="Arial" w:eastAsia="Arial" w:hAnsi="Arial"/>
          <w:sz w:val="13"/>
          <w:szCs w:val="13"/>
          <w:b w:val="1"/>
          <w:bCs w:val="1"/>
          <w:color w:val="auto"/>
        </w:rPr>
        <w:t>No.</w:t>
      </w:r>
      <w:r>
        <w:rPr>
          <w:sz w:val="20"/>
          <w:szCs w:val="20"/>
          <w:color w:val="auto"/>
        </w:rPr>
        <w:tab/>
      </w:r>
      <w:r>
        <w:rPr>
          <w:rFonts w:ascii="Arial" w:cs="Arial" w:eastAsia="Arial" w:hAnsi="Arial"/>
          <w:sz w:val="13"/>
          <w:szCs w:val="13"/>
          <w:b w:val="1"/>
          <w:bCs w:val="1"/>
          <w:color w:val="auto"/>
        </w:rPr>
        <w:t>Document</w:t>
      </w:r>
    </w:p>
    <w:p>
      <w:pPr>
        <w:spacing w:after="0" w:line="72" w:lineRule="exact"/>
        <w:rPr>
          <w:sz w:val="20"/>
          <w:szCs w:val="20"/>
          <w:color w:val="auto"/>
        </w:rPr>
      </w:pPr>
    </w:p>
    <w:p>
      <w:pPr>
        <w:spacing w:after="0"/>
        <w:tabs>
          <w:tab w:leader="none" w:pos="840" w:val="left"/>
        </w:tabs>
        <w:rPr>
          <w:rFonts w:ascii="Arial" w:cs="Arial" w:eastAsia="Arial" w:hAnsi="Arial"/>
          <w:sz w:val="14"/>
          <w:szCs w:val="14"/>
          <w:u w:val="single" w:color="auto"/>
          <w:color w:val="0000EE"/>
        </w:rPr>
      </w:pPr>
      <w:r>
        <w:rPr>
          <w:rFonts w:ascii="Arial" w:cs="Arial" w:eastAsia="Arial" w:hAnsi="Arial"/>
          <w:sz w:val="16"/>
          <w:szCs w:val="16"/>
          <w:color w:val="auto"/>
        </w:rPr>
        <w:t>99.1</w:t>
      </w:r>
      <w:r>
        <w:rPr>
          <w:sz w:val="20"/>
          <w:szCs w:val="20"/>
          <w:color w:val="auto"/>
        </w:rPr>
        <w:tab/>
      </w:r>
      <w:hyperlink w:anchor="page4">
        <w:r>
          <w:rPr>
            <w:rFonts w:ascii="Arial" w:cs="Arial" w:eastAsia="Arial" w:hAnsi="Arial"/>
            <w:sz w:val="14"/>
            <w:szCs w:val="14"/>
            <w:u w:val="single" w:color="auto"/>
            <w:color w:val="0000EE"/>
          </w:rPr>
          <w:t>Wave Life Sciences Ltd. Presentation at OTS on October 3, 2018</w:t>
        </w:r>
      </w:hyperlink>
    </w:p>
    <w:p>
      <w:pPr>
        <w:sectPr>
          <w:pgSz w:w="11900" w:h="16838" w:orient="portrait"/>
          <w:cols w:equalWidth="0" w:num="1">
            <w:col w:w="9740"/>
          </w:cols>
          <w:pgMar w:left="1060" w:top="255" w:right="1099" w:bottom="1440" w:gutter="0" w:footer="0" w:header="0"/>
        </w:sectPr>
      </w:pPr>
    </w:p>
    <w:bookmarkStart w:id="2" w:name="page3"/>
    <w:bookmarkEnd w:id="2"/>
    <w:p>
      <w:pPr>
        <w:jc w:val="center"/>
        <w:ind w:right="-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02500"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2500" cy="35560"/>
                    </a:xfrm>
                    <a:prstGeom prst="rect">
                      <a:avLst/>
                    </a:prstGeom>
                    <a:noFill/>
                  </pic:spPr>
                </pic:pic>
              </a:graphicData>
            </a:graphic>
          </wp:anchor>
        </w:drawing>
        <w:t>SIGNATURE</w:t>
      </w:r>
    </w:p>
    <w:p>
      <w:pPr>
        <w:spacing w:after="0" w:line="204" w:lineRule="exact"/>
        <w:rPr>
          <w:sz w:val="20"/>
          <w:szCs w:val="20"/>
          <w:color w:val="auto"/>
        </w:rPr>
      </w:pPr>
    </w:p>
    <w:p>
      <w:pPr>
        <w:ind w:right="259"/>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WAVE LIFE SCIENCES LTD.</w:t>
      </w:r>
    </w:p>
    <w:p>
      <w:pPr>
        <w:spacing w:after="0" w:line="204" w:lineRule="exact"/>
        <w:rPr>
          <w:sz w:val="20"/>
          <w:szCs w:val="20"/>
          <w:color w:val="auto"/>
        </w:rPr>
      </w:pPr>
    </w:p>
    <w:p>
      <w:pPr>
        <w:ind w:left="320"/>
        <w:spacing w:after="0"/>
        <w:tabs>
          <w:tab w:leader="none" w:pos="5280" w:val="left"/>
        </w:tabs>
        <w:rPr>
          <w:sz w:val="20"/>
          <w:szCs w:val="20"/>
          <w:color w:val="auto"/>
        </w:rPr>
      </w:pPr>
      <w:r>
        <w:rPr>
          <w:rFonts w:ascii="Arial" w:cs="Arial" w:eastAsia="Arial" w:hAnsi="Arial"/>
          <w:sz w:val="16"/>
          <w:szCs w:val="16"/>
          <w:color w:val="auto"/>
        </w:rPr>
        <w:t>Date: October 3, 2018</w:t>
      </w:r>
      <w:r>
        <w:rPr>
          <w:sz w:val="20"/>
          <w:szCs w:val="20"/>
          <w:color w:val="auto"/>
        </w:rPr>
        <w:tab/>
      </w:r>
      <w:r>
        <w:rPr>
          <w:rFonts w:ascii="Arial" w:cs="Arial" w:eastAsia="Arial" w:hAnsi="Arial"/>
          <w:sz w:val="14"/>
          <w:szCs w:val="14"/>
          <w:color w:val="auto"/>
        </w:rPr>
        <w:t>/s/ Keith C. Regnante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3359150</wp:posOffset>
            </wp:positionH>
            <wp:positionV relativeFrom="paragraph">
              <wp:posOffset>13335</wp:posOffset>
            </wp:positionV>
            <wp:extent cx="28606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60675" cy="7620"/>
                    </a:xfrm>
                    <a:prstGeom prst="rect">
                      <a:avLst/>
                    </a:prstGeom>
                    <a:noFill/>
                  </pic:spPr>
                </pic:pic>
              </a:graphicData>
            </a:graphic>
          </wp:anchor>
        </w:drawing>
      </w:r>
    </w:p>
    <w:p>
      <w:pPr>
        <w:spacing w:after="0" w:line="12"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Keith C. Regnante</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9399"/>
          </w:cols>
          <w:pgMar w:left="1060" w:top="255"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4119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4119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330440" cy="426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30440" cy="4264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2019-12-28T19:08:44Z</dcterms:created>
  <dcterms:modified xsi:type="dcterms:W3CDTF">2019-12-28T19:08:44Z</dcterms:modified>
</cp:coreProperties>
</file>