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43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43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41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vMerge w:val="restart"/>
          </w:tcPr>
          <w:p>
            <w:pPr>
              <w:jc w:val="center"/>
              <w:ind w:right="41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5352415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-1841500</wp:posOffset>
            </wp:positionH>
            <wp:positionV relativeFrom="paragraph">
              <wp:posOffset>18415</wp:posOffset>
            </wp:positionV>
            <wp:extent cx="7282815" cy="8578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85782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700"/>
            <w:col w:w="8640"/>
          </w:cols>
          <w:pgMar w:left="240" w:top="220" w:right="13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TAKANASHI KEN</w:t>
        </w:r>
      </w:hyperlink>
    </w:p>
    <w:p>
      <w:pPr>
        <w:spacing w:after="0" w:line="29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92" w:lineRule="auto"/>
        <w:rPr>
          <w:sz w:val="20"/>
          <w:szCs w:val="20"/>
          <w:color w:val="auto"/>
        </w:rPr>
      </w:pPr>
      <w:r>
        <w:rPr>
          <w:rFonts w:ascii="Arial" w:cs="Arial" w:eastAsia="Arial" w:hAnsi="Arial"/>
          <w:sz w:val="15"/>
          <w:szCs w:val="15"/>
          <w:color w:val="0000FF"/>
        </w:rPr>
        <w:t>C/O SHIN NIPPON BIOMEDICAL LABORATORIES, 2438 MIYANOURA-MACHI, KAGOSHIMA CITY</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2060" w:type="dxa"/>
            <w:vAlign w:val="bottom"/>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12"/>
                <w:szCs w:val="12"/>
                <w:color w:val="auto"/>
              </w:rPr>
            </w:pPr>
          </w:p>
        </w:tc>
      </w:tr>
      <w:tr>
        <w:trPr>
          <w:trHeight w:val="223"/>
        </w:trPr>
        <w:tc>
          <w:tcPr>
            <w:tcW w:w="2060" w:type="dxa"/>
            <w:vAlign w:val="bottom"/>
          </w:tcPr>
          <w:p>
            <w:pPr>
              <w:ind w:left="40"/>
              <w:spacing w:after="0"/>
              <w:rPr>
                <w:sz w:val="20"/>
                <w:szCs w:val="20"/>
                <w:color w:val="auto"/>
              </w:rPr>
            </w:pPr>
            <w:r>
              <w:rPr>
                <w:rFonts w:ascii="Arial" w:cs="Arial" w:eastAsia="Arial" w:hAnsi="Arial"/>
                <w:sz w:val="16"/>
                <w:szCs w:val="16"/>
                <w:color w:val="0000FF"/>
              </w:rPr>
              <w:t>KAGOSHIMA    M0</w:t>
            </w:r>
          </w:p>
        </w:tc>
        <w:tc>
          <w:tcPr>
            <w:tcW w:w="1140" w:type="dxa"/>
            <w:vAlign w:val="bottom"/>
          </w:tcPr>
          <w:p>
            <w:pPr>
              <w:jc w:val="right"/>
              <w:spacing w:after="0"/>
              <w:rPr>
                <w:sz w:val="20"/>
                <w:szCs w:val="20"/>
                <w:color w:val="auto"/>
              </w:rPr>
            </w:pPr>
            <w:r>
              <w:rPr>
                <w:rFonts w:ascii="Arial" w:cs="Arial" w:eastAsia="Arial" w:hAnsi="Arial"/>
                <w:sz w:val="16"/>
                <w:szCs w:val="16"/>
                <w:color w:val="0000FF"/>
              </w:rPr>
              <w:t>891-1394</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44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92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Wave Life Sciences Ltd.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WVE</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7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2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4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300" w:type="dxa"/>
            <w:vAlign w:val="bottom"/>
            <w:vMerge w:val="restart"/>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80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103" w:lineRule="exact"/>
              <w:rPr>
                <w:sz w:val="20"/>
                <w:szCs w:val="20"/>
                <w:color w:val="auto"/>
              </w:rPr>
            </w:pPr>
            <w:r>
              <w:rPr>
                <w:rFonts w:ascii="Arial" w:cs="Arial" w:eastAsia="Arial" w:hAnsi="Arial"/>
                <w:sz w:val="11"/>
                <w:szCs w:val="11"/>
                <w:color w:val="auto"/>
              </w:rPr>
              <w:t>below)</w:t>
            </w:r>
          </w:p>
        </w:tc>
        <w:tc>
          <w:tcPr>
            <w:tcW w:w="440" w:type="dxa"/>
            <w:vAlign w:val="bottom"/>
          </w:tcPr>
          <w:p>
            <w:pPr>
              <w:spacing w:after="0"/>
              <w:rPr>
                <w:sz w:val="8"/>
                <w:szCs w:val="8"/>
                <w:color w:val="auto"/>
              </w:rPr>
            </w:pPr>
          </w:p>
        </w:tc>
        <w:tc>
          <w:tcPr>
            <w:tcW w:w="1300" w:type="dxa"/>
            <w:vAlign w:val="bottom"/>
          </w:tcPr>
          <w:p>
            <w:pPr>
              <w:ind w:left="12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7"/>
        </w:trPr>
        <w:tc>
          <w:tcPr>
            <w:tcW w:w="18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00" w:type="dxa"/>
            <w:vAlign w:val="bottom"/>
            <w:gridSpan w:val="3"/>
          </w:tcPr>
          <w:p>
            <w:pPr>
              <w:ind w:left="60"/>
              <w:spacing w:after="0"/>
              <w:rPr>
                <w:sz w:val="20"/>
                <w:szCs w:val="20"/>
                <w:color w:val="auto"/>
              </w:rPr>
            </w:pPr>
            <w:r>
              <w:rPr>
                <w:rFonts w:ascii="Arial" w:cs="Arial" w:eastAsia="Arial" w:hAnsi="Arial"/>
                <w:sz w:val="16"/>
                <w:szCs w:val="16"/>
                <w:color w:val="0000FF"/>
              </w:rPr>
              <w:t>08/14/2015</w:t>
            </w:r>
          </w:p>
        </w:tc>
        <w:tc>
          <w:tcPr>
            <w:tcW w:w="1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44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gridSpan w:val="3"/>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0000FF"/>
              </w:rPr>
              <w:t>X</w:t>
            </w:r>
          </w:p>
        </w:tc>
        <w:tc>
          <w:tcPr>
            <w:tcW w:w="2940" w:type="dxa"/>
            <w:vAlign w:val="bottom"/>
            <w:gridSpan w:val="3"/>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760" w:space="240"/>
            <w:col w:w="7520"/>
          </w:cols>
          <w:pgMar w:left="240" w:top="220" w:right="139" w:bottom="0" w:gutter="0" w:footer="0" w:header="0"/>
          <w:type w:val="continuous"/>
        </w:sectPr>
      </w:pPr>
    </w:p>
    <w:p>
      <w:pPr>
        <w:spacing w:after="0" w:line="2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69"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3.</w:t>
            </w:r>
          </w:p>
        </w:tc>
        <w:tc>
          <w:tcPr>
            <w:tcW w:w="660" w:type="dxa"/>
            <w:vAlign w:val="bottom"/>
          </w:tcPr>
          <w:p>
            <w:pPr>
              <w:spacing w:after="0"/>
              <w:rPr>
                <w:sz w:val="12"/>
                <w:szCs w:val="12"/>
                <w:color w:val="auto"/>
              </w:rPr>
            </w:pPr>
          </w:p>
        </w:tc>
        <w:tc>
          <w:tcPr>
            <w:tcW w:w="20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8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Following Reported</w:t>
            </w: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gridSpan w:val="2"/>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w w:val="98"/>
              </w:rPr>
              <w:t>(Instr. 3 and 4)</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6"/>
                <w:szCs w:val="16"/>
                <w:color w:val="0000FF"/>
              </w:rPr>
              <w:t>Ordinary Shares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vMerge w:val="restart"/>
          </w:tcPr>
          <w:p>
            <w:pPr>
              <w:jc w:val="right"/>
              <w:ind w:right="23"/>
              <w:spacing w:after="0"/>
              <w:rPr>
                <w:sz w:val="20"/>
                <w:szCs w:val="20"/>
                <w:color w:val="auto"/>
              </w:rPr>
            </w:pPr>
            <w:r>
              <w:rPr>
                <w:rFonts w:ascii="Arial" w:cs="Arial" w:eastAsia="Arial" w:hAnsi="Arial"/>
                <w:sz w:val="16"/>
                <w:szCs w:val="16"/>
                <w:color w:val="0000FF"/>
              </w:rPr>
              <w:t>11/16/2015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restart"/>
          </w:tcPr>
          <w:p>
            <w:pPr>
              <w:spacing w:after="0"/>
              <w:rPr>
                <w:sz w:val="20"/>
                <w:szCs w:val="20"/>
                <w:color w:val="auto"/>
              </w:rPr>
            </w:pPr>
            <w:r>
              <w:rPr>
                <w:rFonts w:ascii="Arial" w:cs="Arial" w:eastAsia="Arial" w:hAnsi="Arial"/>
                <w:sz w:val="12"/>
                <w:szCs w:val="12"/>
                <w:color w:val="0000FF"/>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6"/>
              </w:rPr>
              <w:t>161,663</w:t>
            </w:r>
            <w:r>
              <w:rPr>
                <w:rFonts w:ascii="Arial" w:cs="Arial" w:eastAsia="Arial" w:hAnsi="Arial"/>
                <w:sz w:val="20"/>
                <w:szCs w:val="20"/>
                <w:color w:val="008000"/>
                <w:w w:val="86"/>
                <w:vertAlign w:val="superscript"/>
              </w:rPr>
              <w:t>(1)</w:t>
            </w:r>
          </w:p>
        </w:tc>
        <w:tc>
          <w:tcPr>
            <w:tcW w:w="5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213"/>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20"/>
                <w:szCs w:val="20"/>
                <w:color w:val="auto"/>
              </w:rPr>
            </w:pPr>
          </w:p>
        </w:tc>
        <w:tc>
          <w:tcPr>
            <w:tcW w:w="1200" w:type="dxa"/>
            <w:vAlign w:val="bottom"/>
            <w:gridSpan w:val="3"/>
            <w:vMerge w:val="restart"/>
          </w:tcPr>
          <w:p>
            <w:pPr>
              <w:jc w:val="right"/>
              <w:ind w:right="262"/>
              <w:spacing w:after="0"/>
              <w:rPr>
                <w:sz w:val="20"/>
                <w:szCs w:val="20"/>
                <w:color w:val="auto"/>
              </w:rPr>
            </w:pPr>
            <w:r>
              <w:rPr>
                <w:rFonts w:ascii="Arial" w:cs="Arial" w:eastAsia="Arial" w:hAnsi="Arial"/>
                <w:sz w:val="16"/>
                <w:szCs w:val="16"/>
                <w:color w:val="0000FF"/>
              </w:rPr>
              <w:t>1,859,130</w:t>
            </w:r>
          </w:p>
        </w:tc>
        <w:tc>
          <w:tcPr>
            <w:tcW w:w="380" w:type="dxa"/>
            <w:vAlign w:val="bottom"/>
          </w:tcPr>
          <w:p>
            <w:pPr>
              <w:spacing w:after="0"/>
              <w:rPr>
                <w:sz w:val="20"/>
                <w:szCs w:val="20"/>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760" w:type="dxa"/>
            <w:vAlign w:val="bottom"/>
            <w:gridSpan w:val="2"/>
          </w:tcPr>
          <w:p>
            <w:pPr>
              <w:ind w:left="10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gridSpan w:val="4"/>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0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6"/>
                <w:szCs w:val="16"/>
                <w:color w:val="0000FF"/>
              </w:rPr>
              <w:t>Ordinary Shares</w:t>
            </w:r>
          </w:p>
        </w:tc>
        <w:tc>
          <w:tcPr>
            <w:tcW w:w="3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gridSpan w:val="3"/>
            <w:vMerge w:val="restart"/>
          </w:tcPr>
          <w:p>
            <w:pPr>
              <w:jc w:val="right"/>
              <w:ind w:right="23"/>
              <w:spacing w:after="0"/>
              <w:rPr>
                <w:sz w:val="20"/>
                <w:szCs w:val="20"/>
                <w:color w:val="auto"/>
              </w:rPr>
            </w:pPr>
            <w:r>
              <w:rPr>
                <w:rFonts w:ascii="Arial" w:cs="Arial" w:eastAsia="Arial" w:hAnsi="Arial"/>
                <w:sz w:val="16"/>
                <w:szCs w:val="16"/>
                <w:color w:val="0000FF"/>
              </w:rPr>
              <w:t>11/16/2015</w:t>
            </w:r>
          </w:p>
        </w:tc>
        <w:tc>
          <w:tcPr>
            <w:tcW w:w="10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color w:val="0000FF"/>
              </w:rPr>
              <w:t>P</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86"/>
              </w:rPr>
              <w:t>125,000</w:t>
            </w:r>
            <w:r>
              <w:rPr>
                <w:rFonts w:ascii="Arial" w:cs="Arial" w:eastAsia="Arial" w:hAnsi="Arial"/>
                <w:sz w:val="20"/>
                <w:szCs w:val="20"/>
                <w:color w:val="008000"/>
                <w:w w:val="86"/>
                <w:vertAlign w:val="superscript"/>
              </w:rPr>
              <w:t>(1)</w:t>
            </w:r>
          </w:p>
        </w:tc>
        <w:tc>
          <w:tcPr>
            <w:tcW w:w="5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top w:val="single" w:sz="8" w:color="2C2C2C"/>
            </w:tcBorders>
            <w:vMerge w:val="restart"/>
          </w:tcPr>
          <w:p>
            <w:pPr>
              <w:jc w:val="center"/>
              <w:ind w:right="11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16</w:t>
            </w:r>
          </w:p>
        </w:tc>
        <w:tc>
          <w:tcPr>
            <w:tcW w:w="40" w:type="dxa"/>
            <w:vAlign w:val="bottom"/>
            <w:tcBorders>
              <w:top w:val="single" w:sz="8" w:color="2C2C2C"/>
            </w:tcBorders>
          </w:tcPr>
          <w:p>
            <w:pPr>
              <w:spacing w:after="0"/>
              <w:rPr>
                <w:sz w:val="20"/>
                <w:szCs w:val="20"/>
                <w:color w:val="auto"/>
              </w:rPr>
            </w:pPr>
          </w:p>
        </w:tc>
        <w:tc>
          <w:tcPr>
            <w:tcW w:w="1200" w:type="dxa"/>
            <w:vAlign w:val="bottom"/>
            <w:tcBorders>
              <w:top w:val="single" w:sz="8" w:color="2C2C2C"/>
            </w:tcBorders>
            <w:gridSpan w:val="3"/>
            <w:vMerge w:val="restart"/>
          </w:tcPr>
          <w:p>
            <w:pPr>
              <w:jc w:val="center"/>
              <w:ind w:right="182"/>
              <w:spacing w:after="0"/>
              <w:rPr>
                <w:sz w:val="20"/>
                <w:szCs w:val="20"/>
                <w:color w:val="auto"/>
              </w:rPr>
            </w:pPr>
            <w:r>
              <w:rPr>
                <w:rFonts w:ascii="Arial" w:cs="Arial" w:eastAsia="Arial" w:hAnsi="Arial"/>
                <w:sz w:val="16"/>
                <w:szCs w:val="16"/>
                <w:color w:val="0000FF"/>
              </w:rPr>
              <w:t>1,984,130</w:t>
            </w:r>
            <w:r>
              <w:rPr>
                <w:rFonts w:ascii="Arial" w:cs="Arial" w:eastAsia="Arial" w:hAnsi="Arial"/>
                <w:sz w:val="20"/>
                <w:szCs w:val="20"/>
                <w:color w:val="008000"/>
                <w:vertAlign w:val="superscript"/>
              </w:rPr>
              <w:t>(4)</w:t>
            </w:r>
          </w:p>
        </w:tc>
        <w:tc>
          <w:tcPr>
            <w:tcW w:w="3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760" w:type="dxa"/>
            <w:vAlign w:val="bottom"/>
            <w:tcBorders>
              <w:top w:val="single" w:sz="8" w:color="2C2C2C"/>
            </w:tcBorders>
            <w:gridSpan w:val="2"/>
          </w:tcPr>
          <w:p>
            <w:pPr>
              <w:ind w:left="100"/>
              <w:spacing w:after="0"/>
              <w:rPr>
                <w:sz w:val="20"/>
                <w:szCs w:val="20"/>
                <w:color w:val="auto"/>
              </w:rPr>
            </w:pPr>
            <w:r>
              <w:rPr>
                <w:rFonts w:ascii="Arial" w:cs="Arial" w:eastAsia="Arial" w:hAnsi="Arial"/>
                <w:sz w:val="16"/>
                <w:szCs w:val="16"/>
                <w:color w:val="0000FF"/>
              </w:rPr>
              <w:t>See</w:t>
            </w:r>
          </w:p>
        </w:tc>
        <w:tc>
          <w:tcPr>
            <w:tcW w:w="1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gridSpan w:val="4"/>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760" w:type="dxa"/>
            <w:vAlign w:val="bottom"/>
            <w:gridSpan w:val="16"/>
          </w:tcPr>
          <w:p>
            <w:pPr>
              <w:jc w:val="center"/>
              <w:ind w:right="16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60" w:type="dxa"/>
            <w:vAlign w:val="bottom"/>
            <w:gridSpan w:val="13"/>
          </w:tcPr>
          <w:p>
            <w:pPr>
              <w:jc w:val="center"/>
              <w:ind w:right="4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4.</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 Derivative</w:t>
            </w:r>
          </w:p>
        </w:tc>
        <w:tc>
          <w:tcPr>
            <w:tcW w:w="12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6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Acquired (A)</w:t>
            </w:r>
          </w:p>
        </w:tc>
        <w:tc>
          <w:tcPr>
            <w:tcW w:w="12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6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14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or Disposed of (D) (Instr.</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ind w:left="60"/>
              <w:spacing w:after="0" w:line="96" w:lineRule="exact"/>
              <w:rPr>
                <w:sz w:val="20"/>
                <w:szCs w:val="20"/>
                <w:color w:val="auto"/>
              </w:rPr>
            </w:pPr>
            <w:r>
              <w:rPr>
                <w:rFonts w:ascii="Arial" w:cs="Arial" w:eastAsia="Arial" w:hAnsi="Arial"/>
                <w:sz w:val="11"/>
                <w:szCs w:val="11"/>
                <w:b w:val="1"/>
                <w:bCs w:val="1"/>
                <w:color w:val="auto"/>
              </w:rPr>
              <w:t>Security</w:t>
            </w: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96" w:lineRule="exact"/>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22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1080" w:type="dxa"/>
            <w:vAlign w:val="bottom"/>
            <w:gridSpan w:val="2"/>
          </w:tcPr>
          <w:p>
            <w:pPr>
              <w:ind w:left="5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10"/>
                <w:szCs w:val="10"/>
                <w:color w:val="008000"/>
              </w:rPr>
              <w:t>(5)</w:t>
            </w:r>
          </w:p>
        </w:tc>
        <w:tc>
          <w:tcPr>
            <w:tcW w:w="760" w:type="dxa"/>
            <w:vAlign w:val="bottom"/>
            <w:vMerge w:val="restart"/>
          </w:tcPr>
          <w:p>
            <w:pPr>
              <w:jc w:val="center"/>
              <w:ind w:left="20"/>
              <w:spacing w:after="0"/>
              <w:rPr>
                <w:sz w:val="20"/>
                <w:szCs w:val="20"/>
                <w:color w:val="auto"/>
              </w:rPr>
            </w:pPr>
            <w:r>
              <w:rPr>
                <w:rFonts w:ascii="Arial" w:cs="Arial" w:eastAsia="Arial" w:hAnsi="Arial"/>
                <w:sz w:val="10"/>
                <w:szCs w:val="10"/>
                <w:color w:val="008000"/>
                <w:w w:val="97"/>
              </w:rPr>
              <w:t>(5)</w:t>
            </w:r>
          </w:p>
        </w:tc>
        <w:tc>
          <w:tcPr>
            <w:tcW w:w="580" w:type="dxa"/>
            <w:vAlign w:val="bottom"/>
            <w:vMerge w:val="restart"/>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3,901,348</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8"/>
              </w:rPr>
              <w:t>3,901,348</w:t>
            </w:r>
            <w:r>
              <w:rPr>
                <w:rFonts w:ascii="Arial" w:cs="Arial" w:eastAsia="Arial" w:hAnsi="Arial"/>
                <w:sz w:val="20"/>
                <w:szCs w:val="20"/>
                <w:color w:val="008000"/>
                <w:w w:val="88"/>
                <w:vertAlign w:val="superscript"/>
              </w:rPr>
              <w:t>(6)</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Pr>
          <w:p>
            <w:pPr>
              <w:ind w:left="38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0"/>
                <w:szCs w:val="10"/>
                <w:color w:val="008000"/>
                <w:w w:val="81"/>
              </w:rPr>
              <w:t>(3)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0000FF"/>
              </w:rPr>
              <w:t>Shares</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ind w:left="60"/>
              <w:spacing w:after="0" w:line="125" w:lineRule="exact"/>
              <w:rPr>
                <w:sz w:val="20"/>
                <w:szCs w:val="20"/>
                <w:color w:val="auto"/>
              </w:rPr>
            </w:pPr>
            <w:r>
              <w:rPr>
                <w:rFonts w:ascii="Arial" w:cs="Arial" w:eastAsia="Arial" w:hAnsi="Arial"/>
                <w:sz w:val="12"/>
                <w:szCs w:val="12"/>
                <w:color w:val="0000FF"/>
                <w:w w:val="92"/>
              </w:rPr>
              <w:t>Footnote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2"/>
                <w:szCs w:val="12"/>
                <w:color w:val="0000FF"/>
              </w:rPr>
              <w:t>161,663</w:t>
            </w:r>
            <w:r>
              <w:rPr>
                <w:rFonts w:ascii="Arial" w:cs="Arial" w:eastAsia="Arial" w:hAnsi="Arial"/>
                <w:sz w:val="20"/>
                <w:szCs w:val="20"/>
                <w:color w:val="008000"/>
                <w:vertAlign w:val="superscript"/>
              </w:rPr>
              <w:t>(1)(7)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760" w:type="dxa"/>
            <w:vAlign w:val="bottom"/>
            <w:vMerge w:val="restart"/>
          </w:tcPr>
          <w:p>
            <w:pPr>
              <w:jc w:val="center"/>
              <w:ind w:lef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60"/>
              <w:spacing w:after="0"/>
              <w:rPr>
                <w:sz w:val="20"/>
                <w:szCs w:val="20"/>
                <w:color w:val="auto"/>
              </w:rPr>
            </w:pPr>
            <w:r>
              <w:rPr>
                <w:rFonts w:ascii="Arial" w:cs="Arial" w:eastAsia="Arial" w:hAnsi="Arial"/>
                <w:sz w:val="12"/>
                <w:szCs w:val="12"/>
                <w:color w:val="0000FF"/>
              </w:rPr>
              <w:t>Ordinary</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6"/>
              </w:rPr>
              <w:t>161,663</w:t>
            </w:r>
            <w:r>
              <w:rPr>
                <w:rFonts w:ascii="Arial" w:cs="Arial" w:eastAsia="Arial" w:hAnsi="Arial"/>
                <w:sz w:val="20"/>
                <w:szCs w:val="20"/>
                <w:color w:val="008000"/>
                <w:w w:val="86"/>
                <w:vertAlign w:val="superscript"/>
              </w:rPr>
              <w:t>(7)</w:t>
            </w:r>
          </w:p>
        </w:tc>
        <w:tc>
          <w:tcPr>
            <w:tcW w:w="780" w:type="dxa"/>
            <w:vAlign w:val="bottom"/>
            <w:gridSpan w:val="2"/>
            <w:vMerge w:val="restart"/>
          </w:tcPr>
          <w:p>
            <w:pPr>
              <w:jc w:val="center"/>
              <w:ind w:right="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12.37</w:t>
            </w:r>
            <w:r>
              <w:rPr>
                <w:rFonts w:ascii="Arial" w:cs="Arial" w:eastAsia="Arial" w:hAnsi="Arial"/>
                <w:sz w:val="20"/>
                <w:szCs w:val="20"/>
                <w:color w:val="008000"/>
                <w:vertAlign w:val="superscript"/>
              </w:rPr>
              <w:t>(7)</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6"/>
              </w:rPr>
              <w:t>161,663</w:t>
            </w:r>
            <w:r>
              <w:rPr>
                <w:rFonts w:ascii="Arial" w:cs="Arial" w:eastAsia="Arial" w:hAnsi="Arial"/>
                <w:sz w:val="20"/>
                <w:szCs w:val="20"/>
                <w:color w:val="008000"/>
                <w:w w:val="86"/>
                <w:vertAlign w:val="superscript"/>
              </w:rPr>
              <w:t>(1)(7)</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11"/>
                <w:szCs w:val="11"/>
                <w:color w:val="auto"/>
              </w:rPr>
            </w:pPr>
          </w:p>
        </w:tc>
        <w:tc>
          <w:tcPr>
            <w:tcW w:w="1080" w:type="dxa"/>
            <w:vAlign w:val="bottom"/>
            <w:gridSpan w:val="2"/>
          </w:tcPr>
          <w:p>
            <w:pPr>
              <w:ind w:left="240"/>
              <w:spacing w:after="0" w:line="133" w:lineRule="exact"/>
              <w:rPr>
                <w:sz w:val="20"/>
                <w:szCs w:val="20"/>
                <w:color w:val="auto"/>
              </w:rPr>
            </w:pPr>
            <w:r>
              <w:rPr>
                <w:rFonts w:ascii="Arial" w:cs="Arial" w:eastAsia="Arial" w:hAnsi="Arial"/>
                <w:sz w:val="12"/>
                <w:szCs w:val="12"/>
                <w:color w:val="0000FF"/>
              </w:rPr>
              <w:t>08/14/2015</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color w:val="0000FF"/>
              </w:rPr>
              <w:t>P</w:t>
            </w:r>
          </w:p>
        </w:tc>
        <w:tc>
          <w:tcPr>
            <w:tcW w:w="12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Pr>
          <w:p>
            <w:pPr>
              <w:ind w:left="38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0"/>
                <w:szCs w:val="10"/>
                <w:color w:val="008000"/>
                <w:w w:val="81"/>
              </w:rPr>
              <w:t>(3)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0000FF"/>
              </w:rPr>
              <w:t>Shares</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ind w:left="60"/>
              <w:spacing w:after="0" w:line="125" w:lineRule="exact"/>
              <w:rPr>
                <w:sz w:val="20"/>
                <w:szCs w:val="20"/>
                <w:color w:val="auto"/>
              </w:rPr>
            </w:pPr>
            <w:r>
              <w:rPr>
                <w:rFonts w:ascii="Arial" w:cs="Arial" w:eastAsia="Arial" w:hAnsi="Arial"/>
                <w:sz w:val="12"/>
                <w:szCs w:val="12"/>
                <w:color w:val="0000FF"/>
                <w:w w:val="92"/>
              </w:rPr>
              <w:t>Footnote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restart"/>
          </w:tcPr>
          <w:p>
            <w:pPr>
              <w:ind w:left="580"/>
              <w:spacing w:after="0"/>
              <w:rPr>
                <w:sz w:val="20"/>
                <w:szCs w:val="20"/>
                <w:color w:val="auto"/>
              </w:rPr>
            </w:pPr>
            <w:r>
              <w:rPr>
                <w:rFonts w:ascii="Arial" w:cs="Arial" w:eastAsia="Arial" w:hAnsi="Arial"/>
                <w:sz w:val="12"/>
                <w:szCs w:val="12"/>
                <w:color w:val="0000FF"/>
              </w:rPr>
              <w:t>161,663</w:t>
            </w:r>
            <w:r>
              <w:rPr>
                <w:rFonts w:ascii="Arial" w:cs="Arial" w:eastAsia="Arial" w:hAnsi="Arial"/>
                <w:sz w:val="20"/>
                <w:szCs w:val="20"/>
                <w:color w:val="008000"/>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760" w:type="dxa"/>
            <w:vAlign w:val="bottom"/>
            <w:vMerge w:val="restart"/>
          </w:tcPr>
          <w:p>
            <w:pPr>
              <w:jc w:val="center"/>
              <w:ind w:lef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60"/>
              <w:spacing w:after="0"/>
              <w:rPr>
                <w:sz w:val="20"/>
                <w:szCs w:val="20"/>
                <w:color w:val="auto"/>
              </w:rPr>
            </w:pPr>
            <w:r>
              <w:rPr>
                <w:rFonts w:ascii="Arial" w:cs="Arial" w:eastAsia="Arial" w:hAnsi="Arial"/>
                <w:sz w:val="12"/>
                <w:szCs w:val="12"/>
                <w:color w:val="0000FF"/>
              </w:rPr>
              <w:t>Ordinary</w:t>
            </w:r>
          </w:p>
        </w:tc>
        <w:tc>
          <w:tcPr>
            <w:tcW w:w="680" w:type="dxa"/>
            <w:vAlign w:val="bottom"/>
            <w:vMerge w:val="restart"/>
          </w:tcPr>
          <w:p>
            <w:pPr>
              <w:jc w:val="center"/>
              <w:ind w:left="13"/>
              <w:spacing w:after="0"/>
              <w:rPr>
                <w:sz w:val="20"/>
                <w:szCs w:val="20"/>
                <w:color w:val="auto"/>
              </w:rPr>
            </w:pPr>
            <w:r>
              <w:rPr>
                <w:rFonts w:ascii="Arial" w:cs="Arial" w:eastAsia="Arial" w:hAnsi="Arial"/>
                <w:sz w:val="16"/>
                <w:szCs w:val="16"/>
                <w:color w:val="0000FF"/>
                <w:w w:val="89"/>
              </w:rPr>
              <w:t>161,663</w:t>
            </w:r>
          </w:p>
        </w:tc>
        <w:tc>
          <w:tcPr>
            <w:tcW w:w="40" w:type="dxa"/>
            <w:vAlign w:val="bottom"/>
          </w:tcPr>
          <w:p>
            <w:pPr>
              <w:spacing w:after="0"/>
              <w:rPr>
                <w:sz w:val="15"/>
                <w:szCs w:val="15"/>
                <w:color w:val="auto"/>
              </w:rPr>
            </w:pPr>
          </w:p>
        </w:tc>
        <w:tc>
          <w:tcPr>
            <w:tcW w:w="780" w:type="dxa"/>
            <w:vAlign w:val="bottom"/>
            <w:gridSpan w:val="2"/>
            <w:vMerge w:val="restart"/>
          </w:tcPr>
          <w:p>
            <w:pPr>
              <w:jc w:val="right"/>
              <w:ind w:right="284"/>
              <w:spacing w:after="0"/>
              <w:rPr>
                <w:sz w:val="20"/>
                <w:szCs w:val="20"/>
                <w:color w:val="auto"/>
              </w:rPr>
            </w:pPr>
            <w:r>
              <w:rPr>
                <w:rFonts w:ascii="Arial" w:cs="Arial" w:eastAsia="Arial" w:hAnsi="Arial"/>
                <w:sz w:val="10"/>
                <w:szCs w:val="10"/>
                <w:color w:val="008000"/>
              </w:rPr>
              <w:t>(2)</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2"/>
                <w:szCs w:val="12"/>
                <w:color w:val="0000FF"/>
              </w:rPr>
              <w:t>11/16/2015</w:t>
            </w: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C</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20" w:type="dxa"/>
            <w:vAlign w:val="bottom"/>
            <w:vMerge w:val="restart"/>
          </w:tcPr>
          <w:p>
            <w:pPr>
              <w:jc w:val="center"/>
              <w:ind w:left="302"/>
              <w:spacing w:after="0"/>
              <w:rPr>
                <w:sz w:val="20"/>
                <w:szCs w:val="20"/>
                <w:color w:val="auto"/>
              </w:rPr>
            </w:pPr>
            <w:r>
              <w:rPr>
                <w:rFonts w:ascii="Arial" w:cs="Arial" w:eastAsia="Arial" w:hAnsi="Arial"/>
                <w:sz w:val="12"/>
                <w:szCs w:val="12"/>
                <w:color w:val="0000FF"/>
                <w:w w:val="89"/>
              </w:rPr>
              <w:t>0</w:t>
            </w:r>
          </w:p>
        </w:tc>
        <w:tc>
          <w:tcPr>
            <w:tcW w:w="380" w:type="dxa"/>
            <w:vAlign w:val="bottom"/>
          </w:tcPr>
          <w:p>
            <w:pPr>
              <w:spacing w:after="0"/>
              <w:rPr>
                <w:sz w:val="5"/>
                <w:szCs w:val="5"/>
                <w:color w:val="auto"/>
              </w:rPr>
            </w:pP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0"/>
                <w:szCs w:val="10"/>
                <w:color w:val="008000"/>
                <w:w w:val="81"/>
              </w:rPr>
              <w:t>(3)</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0000FF"/>
              </w:rPr>
              <w:t>Shares</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0000FF"/>
                <w:w w:val="92"/>
              </w:rPr>
              <w:t>Footnote</w:t>
            </w:r>
          </w:p>
        </w:tc>
        <w:tc>
          <w:tcPr>
            <w:tcW w:w="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Shares</w:t>
            </w: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3"/>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spacing w:after="0" w:line="206" w:lineRule="exact"/>
              <w:rPr>
                <w:rFonts w:ascii="Arial" w:cs="Arial" w:eastAsia="Arial" w:hAnsi="Arial"/>
                <w:sz w:val="20"/>
                <w:szCs w:val="20"/>
                <w:color w:val="0000EE"/>
              </w:rPr>
            </w:pPr>
            <w:hyperlink r:id="rId12">
              <w:r>
                <w:rPr>
                  <w:rFonts w:ascii="Arial" w:cs="Arial" w:eastAsia="Arial" w:hAnsi="Arial"/>
                  <w:sz w:val="20"/>
                  <w:szCs w:val="20"/>
                  <w:color w:val="0000EE"/>
                </w:rPr>
                <w:t>TAKANASHI KEN</w:t>
              </w:r>
            </w:hyperlink>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5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gridSpan w:val="9"/>
          </w:tcPr>
          <w:p>
            <w:pPr>
              <w:spacing w:after="0"/>
              <w:rPr>
                <w:sz w:val="20"/>
                <w:szCs w:val="20"/>
                <w:color w:val="auto"/>
              </w:rPr>
            </w:pPr>
            <w:r>
              <w:rPr>
                <w:rFonts w:ascii="Arial" w:cs="Arial" w:eastAsia="Arial" w:hAnsi="Arial"/>
                <w:sz w:val="16"/>
                <w:szCs w:val="16"/>
                <w:color w:val="0000FF"/>
              </w:rPr>
              <w:t>C/O SHIN NIPPON BIOMEDICAL LABORATORIES,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7"/>
          </w:tcPr>
          <w:p>
            <w:pPr>
              <w:spacing w:after="0"/>
              <w:rPr>
                <w:sz w:val="20"/>
                <w:szCs w:val="20"/>
                <w:color w:val="auto"/>
              </w:rPr>
            </w:pPr>
            <w:r>
              <w:rPr>
                <w:rFonts w:ascii="Arial" w:cs="Arial" w:eastAsia="Arial" w:hAnsi="Arial"/>
                <w:sz w:val="16"/>
                <w:szCs w:val="16"/>
                <w:color w:val="0000FF"/>
                <w:w w:val="99"/>
              </w:rPr>
              <w:t>2438 MIYANOURA-MACHI, KAGOSHIMA CITY</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KAGOSHIMA</w:t>
            </w:r>
          </w:p>
        </w:tc>
        <w:tc>
          <w:tcPr>
            <w:tcW w:w="1080" w:type="dxa"/>
            <w:vAlign w:val="bottom"/>
            <w:gridSpan w:val="2"/>
          </w:tcPr>
          <w:p>
            <w:pPr>
              <w:ind w:left="140"/>
              <w:spacing w:after="0"/>
              <w:rPr>
                <w:sz w:val="20"/>
                <w:szCs w:val="20"/>
                <w:color w:val="auto"/>
              </w:rPr>
            </w:pPr>
            <w:r>
              <w:rPr>
                <w:rFonts w:ascii="Arial" w:cs="Arial" w:eastAsia="Arial" w:hAnsi="Arial"/>
                <w:sz w:val="16"/>
                <w:szCs w:val="16"/>
                <w:color w:val="0000FF"/>
              </w:rPr>
              <w:t>M0</w:t>
            </w:r>
          </w:p>
        </w:tc>
        <w:tc>
          <w:tcPr>
            <w:tcW w:w="1840" w:type="dxa"/>
            <w:vAlign w:val="bottom"/>
            <w:gridSpan w:val="4"/>
          </w:tcPr>
          <w:p>
            <w:pPr>
              <w:ind w:left="540"/>
              <w:spacing w:after="0"/>
              <w:rPr>
                <w:sz w:val="20"/>
                <w:szCs w:val="20"/>
                <w:color w:val="auto"/>
              </w:rPr>
            </w:pPr>
            <w:r>
              <w:rPr>
                <w:rFonts w:ascii="Arial" w:cs="Arial" w:eastAsia="Arial" w:hAnsi="Arial"/>
                <w:sz w:val="16"/>
                <w:szCs w:val="16"/>
                <w:color w:val="0000FF"/>
              </w:rPr>
              <w:t>891-1394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5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gridSpan w:val="9"/>
          </w:tcPr>
          <w:p>
            <w:pPr>
              <w:spacing w:after="0" w:line="206" w:lineRule="exact"/>
              <w:rPr>
                <w:rFonts w:ascii="Arial" w:cs="Arial" w:eastAsia="Arial" w:hAnsi="Arial"/>
                <w:sz w:val="20"/>
                <w:szCs w:val="20"/>
                <w:color w:val="0000EE"/>
              </w:rPr>
            </w:pPr>
            <w:hyperlink r:id="rId14">
              <w:r>
                <w:rPr>
                  <w:rFonts w:ascii="Arial" w:cs="Arial" w:eastAsia="Arial" w:hAnsi="Arial"/>
                  <w:sz w:val="20"/>
                  <w:szCs w:val="20"/>
                  <w:color w:val="0000EE"/>
                </w:rPr>
                <w:t>Shin Nippon Biomedical Laboratories, Ltd.</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5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20" w:type="dxa"/>
            <w:vAlign w:val="bottom"/>
            <w:gridSpan w:val="7"/>
          </w:tcPr>
          <w:p>
            <w:pPr>
              <w:spacing w:after="0"/>
              <w:rPr>
                <w:sz w:val="20"/>
                <w:szCs w:val="20"/>
                <w:color w:val="auto"/>
              </w:rPr>
            </w:pPr>
            <w:r>
              <w:rPr>
                <w:rFonts w:ascii="Arial" w:cs="Arial" w:eastAsia="Arial" w:hAnsi="Arial"/>
                <w:sz w:val="16"/>
                <w:szCs w:val="16"/>
                <w:color w:val="0000FF"/>
                <w:w w:val="99"/>
              </w:rPr>
              <w:t>2438 MIYANOURA-MACHI, KAGOSHIMA CITY</w:t>
            </w: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6"/>
                <w:szCs w:val="16"/>
                <w:color w:val="0000FF"/>
              </w:rPr>
              <w:t>KAGOSHIMA</w:t>
            </w:r>
          </w:p>
        </w:tc>
        <w:tc>
          <w:tcPr>
            <w:tcW w:w="1080" w:type="dxa"/>
            <w:vAlign w:val="bottom"/>
            <w:gridSpan w:val="2"/>
          </w:tcPr>
          <w:p>
            <w:pPr>
              <w:ind w:left="140"/>
              <w:spacing w:after="0"/>
              <w:rPr>
                <w:sz w:val="20"/>
                <w:szCs w:val="20"/>
                <w:color w:val="auto"/>
              </w:rPr>
            </w:pPr>
            <w:r>
              <w:rPr>
                <w:rFonts w:ascii="Arial" w:cs="Arial" w:eastAsia="Arial" w:hAnsi="Arial"/>
                <w:sz w:val="16"/>
                <w:szCs w:val="16"/>
                <w:color w:val="0000FF"/>
              </w:rPr>
              <w:t>M0</w:t>
            </w:r>
          </w:p>
        </w:tc>
        <w:tc>
          <w:tcPr>
            <w:tcW w:w="1840" w:type="dxa"/>
            <w:vAlign w:val="bottom"/>
            <w:gridSpan w:val="4"/>
          </w:tcPr>
          <w:p>
            <w:pPr>
              <w:ind w:left="540"/>
              <w:spacing w:after="0"/>
              <w:rPr>
                <w:sz w:val="20"/>
                <w:szCs w:val="20"/>
                <w:color w:val="auto"/>
              </w:rPr>
            </w:pPr>
            <w:r>
              <w:rPr>
                <w:rFonts w:ascii="Arial" w:cs="Arial" w:eastAsia="Arial" w:hAnsi="Arial"/>
                <w:sz w:val="16"/>
                <w:szCs w:val="16"/>
                <w:color w:val="0000FF"/>
              </w:rPr>
              <w:t>891-1394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5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-5309870</wp:posOffset>
            </wp:positionV>
            <wp:extent cx="23495" cy="2165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216535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40" w:right="160" w:hanging="3"/>
        <w:spacing w:after="0" w:line="270"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SNBL USA, Ltd. ("SNBL USA"), an affiliate of Shin Nippon Biomedical Laboratories, Ltd. ("SNBL"). Ken Takanashi, a director of the Issuer, is a director of SNBL and SNBL USA and each of Mr. Takanashi and SNBL may be deemed to beneficially own the reported securities held by SNBL USA.</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B Preferred Shares automatically converted into Ordinary Shares on a one-for-one basis upon the closing of the Issuer's initial public offering of its Ordinary Shares.</w:t>
      </w:r>
    </w:p>
    <w:p>
      <w:pPr>
        <w:spacing w:after="0" w:line="48" w:lineRule="exact"/>
        <w:rPr>
          <w:rFonts w:ascii="Arial" w:cs="Arial" w:eastAsia="Arial" w:hAnsi="Arial"/>
          <w:sz w:val="12"/>
          <w:szCs w:val="12"/>
          <w:color w:val="008000"/>
        </w:rPr>
      </w:pPr>
    </w:p>
    <w:p>
      <w:pPr>
        <w:ind w:left="40" w:right="180" w:hanging="3"/>
        <w:spacing w:after="0" w:line="24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Rule 16a-1 under the Securities Exchange Act of 1934, as amended (the "Act"), Mr. Takanashi and SNBL each disclaim beneficial ownership of the reported securities held by SNBL USA, and Mr. Takanashi disclaims beneficial ownership of the reported securities held by SNBL, in each case except to the extent of his or its respective pecuniary interest therein. The filing of this Form 4 shall not be construed as an admission that Mr. Takanashi is or was for the purposes of Section 16(a) of the Act, or otherwise, the beneficial owner of any of the reported securities held by SNBL or SNBL USA. The filing of this Form 4 shall not be construed as an admission that SNBL is or was for the purposes of Section 16(a) of the Act, or otherwise, the beneficial owner of any of the reported securities held by SNBL USA.</w:t>
      </w:r>
    </w:p>
    <w:p>
      <w:pPr>
        <w:sectPr>
          <w:pgSz w:w="11900" w:h="16838" w:orient="portrait"/>
          <w:cols w:equalWidth="0" w:num="1">
            <w:col w:w="11520"/>
          </w:cols>
          <w:pgMar w:left="240" w:top="220" w:right="139" w:bottom="0" w:gutter="0" w:footer="0" w:header="0"/>
          <w:type w:val="continuous"/>
        </w:sectPr>
      </w:pPr>
    </w:p>
    <w:bookmarkStart w:id="1" w:name="page2"/>
    <w:bookmarkEnd w:id="1"/>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shares are held as follows; 1,697,467 shares are held by SNBL and 286,663 shares are held by SNBL USA.</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Series A Preferred Shares are convertible into Ordinary Shares on a one-for-one basis at any time at the option of the holder and have no expiration date.</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SNBL.</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 amounts reflect a 4.0415917-for-1 forward split of the Issuer's shares on November 1, 2015. The securities were purchased for $12.37 per share on a post-split basis.</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823" w:type="dxa"/>
        <w:tblCellMar>
          <w:top w:w="0" w:type="dxa"/>
          <w:left w:w="0" w:type="dxa"/>
          <w:bottom w:w="0" w:type="dxa"/>
          <w:right w:w="0" w:type="dxa"/>
        </w:tblCellMar>
      </w:tblPr>
      <w:tr>
        <w:trPr>
          <w:trHeight w:val="184"/>
        </w:trPr>
        <w:tc>
          <w:tcPr>
            <w:tcW w:w="2060" w:type="dxa"/>
            <w:vAlign w:val="bottom"/>
            <w:gridSpan w:val="5"/>
          </w:tcPr>
          <w:p>
            <w:pPr>
              <w:spacing w:after="0"/>
              <w:rPr>
                <w:sz w:val="20"/>
                <w:szCs w:val="20"/>
                <w:color w:val="auto"/>
              </w:rPr>
            </w:pPr>
            <w:r>
              <w:rPr>
                <w:rFonts w:ascii="Arial" w:cs="Arial" w:eastAsia="Arial" w:hAnsi="Arial"/>
                <w:sz w:val="16"/>
                <w:szCs w:val="16"/>
                <w:color w:val="0000FF"/>
              </w:rPr>
              <w:t>/s/ Ken Takanashi</w:t>
            </w:r>
          </w:p>
        </w:tc>
        <w:tc>
          <w:tcPr>
            <w:tcW w:w="960" w:type="dxa"/>
            <w:vAlign w:val="bottom"/>
            <w:gridSpan w:val="2"/>
          </w:tcPr>
          <w:p>
            <w:pPr>
              <w:ind w:left="240"/>
              <w:spacing w:after="0"/>
              <w:rPr>
                <w:sz w:val="20"/>
                <w:szCs w:val="20"/>
                <w:color w:val="auto"/>
              </w:rPr>
            </w:pPr>
            <w:r>
              <w:rPr>
                <w:rFonts w:ascii="Arial" w:cs="Arial" w:eastAsia="Arial" w:hAnsi="Arial"/>
                <w:sz w:val="16"/>
                <w:szCs w:val="16"/>
                <w:color w:val="0000FF"/>
                <w:w w:val="87"/>
              </w:rPr>
              <w:t>11/17/2015</w:t>
            </w:r>
          </w:p>
        </w:tc>
      </w:tr>
      <w:tr>
        <w:trPr>
          <w:trHeight w:val="20"/>
        </w:trPr>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29"/>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0000FF"/>
                <w:w w:val="94"/>
              </w:rPr>
              <w:t>Shin Nippon Biomedical</w:t>
            </w:r>
          </w:p>
        </w:tc>
        <w:tc>
          <w:tcPr>
            <w:tcW w:w="4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9"/>
        </w:trPr>
        <w:tc>
          <w:tcPr>
            <w:tcW w:w="1640" w:type="dxa"/>
            <w:vAlign w:val="bottom"/>
            <w:gridSpan w:val="4"/>
          </w:tcPr>
          <w:p>
            <w:pPr>
              <w:spacing w:after="0" w:line="179" w:lineRule="exact"/>
              <w:rPr>
                <w:sz w:val="20"/>
                <w:szCs w:val="20"/>
                <w:color w:val="auto"/>
              </w:rPr>
            </w:pPr>
            <w:r>
              <w:rPr>
                <w:rFonts w:ascii="Arial" w:cs="Arial" w:eastAsia="Arial" w:hAnsi="Arial"/>
                <w:sz w:val="16"/>
                <w:szCs w:val="16"/>
                <w:color w:val="0000FF"/>
                <w:w w:val="92"/>
              </w:rPr>
              <w:t>Laboratories, By: /s/ Ken</w:t>
            </w:r>
          </w:p>
        </w:tc>
        <w:tc>
          <w:tcPr>
            <w:tcW w:w="420" w:type="dxa"/>
            <w:vAlign w:val="bottom"/>
          </w:tcPr>
          <w:p>
            <w:pPr>
              <w:spacing w:after="0"/>
              <w:rPr>
                <w:sz w:val="15"/>
                <w:szCs w:val="15"/>
                <w:color w:val="auto"/>
              </w:rPr>
            </w:pPr>
          </w:p>
        </w:tc>
        <w:tc>
          <w:tcPr>
            <w:tcW w:w="960" w:type="dxa"/>
            <w:vAlign w:val="bottom"/>
            <w:gridSpan w:val="2"/>
          </w:tcPr>
          <w:p>
            <w:pPr>
              <w:ind w:left="240"/>
              <w:spacing w:after="0" w:line="179" w:lineRule="exact"/>
              <w:rPr>
                <w:sz w:val="20"/>
                <w:szCs w:val="20"/>
                <w:color w:val="auto"/>
              </w:rPr>
            </w:pPr>
            <w:r>
              <w:rPr>
                <w:rFonts w:ascii="Arial" w:cs="Arial" w:eastAsia="Arial" w:hAnsi="Arial"/>
                <w:sz w:val="16"/>
                <w:szCs w:val="16"/>
                <w:color w:val="0000FF"/>
                <w:w w:val="87"/>
              </w:rPr>
              <w:t>11/17/2015</w:t>
            </w:r>
          </w:p>
        </w:tc>
      </w:tr>
      <w:tr>
        <w:trPr>
          <w:trHeight w:val="179"/>
        </w:trPr>
        <w:tc>
          <w:tcPr>
            <w:tcW w:w="1640" w:type="dxa"/>
            <w:vAlign w:val="bottom"/>
            <w:tcBorders>
              <w:top w:val="single" w:sz="8" w:color="auto"/>
            </w:tcBorders>
            <w:gridSpan w:val="4"/>
          </w:tcPr>
          <w:p>
            <w:pPr>
              <w:spacing w:after="0" w:line="179" w:lineRule="exact"/>
              <w:rPr>
                <w:sz w:val="20"/>
                <w:szCs w:val="20"/>
                <w:color w:val="auto"/>
              </w:rPr>
            </w:pPr>
            <w:r>
              <w:rPr>
                <w:rFonts w:ascii="Arial" w:cs="Arial" w:eastAsia="Arial" w:hAnsi="Arial"/>
                <w:sz w:val="16"/>
                <w:szCs w:val="16"/>
                <w:color w:val="0000FF"/>
                <w:w w:val="98"/>
              </w:rPr>
              <w:t>Takanashi, Its: Director</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15"/>
        </w:trPr>
        <w:tc>
          <w:tcPr>
            <w:tcW w:w="2060" w:type="dxa"/>
            <w:vAlign w:val="bottom"/>
            <w:gridSpan w:val="5"/>
          </w:tcPr>
          <w:p>
            <w:pPr>
              <w:spacing w:after="0"/>
              <w:rPr>
                <w:sz w:val="20"/>
                <w:szCs w:val="20"/>
                <w:color w:val="auto"/>
              </w:rPr>
            </w:pPr>
            <w:r>
              <w:rPr>
                <w:rFonts w:ascii="Arial" w:cs="Arial" w:eastAsia="Arial" w:hAnsi="Arial"/>
                <w:sz w:val="12"/>
                <w:szCs w:val="12"/>
                <w:color w:val="auto"/>
              </w:rPr>
              <w:t>** Signature of Reporting Person</w:t>
            </w:r>
          </w:p>
        </w:tc>
        <w:tc>
          <w:tcPr>
            <w:tcW w:w="96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999" w:hanging="3"/>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2"/>
      </w:cols>
      <w:pgMar w:left="277"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57768" TargetMode="External"/><Relationship Id="rId13" Type="http://schemas.openxmlformats.org/officeDocument/2006/relationships/hyperlink" Target="http://www.sec.gov/cgi-bin/browse-edgar?action=getcompany&amp;CIK=0001631574" TargetMode="External"/><Relationship Id="rId14" Type="http://schemas.openxmlformats.org/officeDocument/2006/relationships/hyperlink" Target="http://www.sec.gov/cgi-bin/browse-edgar?action=getcompany&amp;CIK=00016577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2019-12-09T05:52:17Z</dcterms:created>
  <dcterms:modified xsi:type="dcterms:W3CDTF">2019-12-09T05:52:17Z</dcterms:modified>
</cp:coreProperties>
</file>